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D676A2" w14:textId="77777777" w:rsidR="004A7F7A" w:rsidRPr="004A7F7A" w:rsidRDefault="004A7F7A" w:rsidP="004A7F7A">
      <w:pPr>
        <w:spacing w:after="120" w:line="360" w:lineRule="auto"/>
        <w:jc w:val="center"/>
        <w:rPr>
          <w:rFonts w:ascii="Arial" w:eastAsia="Calibri" w:hAnsi="Arial" w:cs="Arial"/>
          <w:b/>
          <w:bCs/>
          <w:color w:val="1F3864" w:themeColor="accent1" w:themeShade="80"/>
          <w:sz w:val="40"/>
          <w:szCs w:val="40"/>
          <w:u w:color="1F497D"/>
        </w:rPr>
      </w:pPr>
    </w:p>
    <w:p w14:paraId="1691FB8C" w14:textId="77777777" w:rsidR="004A7F7A" w:rsidRPr="004A7F7A" w:rsidRDefault="004A7F7A" w:rsidP="004A7F7A">
      <w:pPr>
        <w:spacing w:after="120" w:line="360" w:lineRule="auto"/>
        <w:rPr>
          <w:rFonts w:ascii="Arial" w:eastAsia="Calibri" w:hAnsi="Arial" w:cs="Arial"/>
          <w:b/>
          <w:bCs/>
          <w:color w:val="1F3864" w:themeColor="accent1" w:themeShade="80"/>
          <w:sz w:val="40"/>
          <w:szCs w:val="40"/>
          <w:u w:color="1F497D"/>
        </w:rPr>
      </w:pPr>
    </w:p>
    <w:p w14:paraId="796BE367" w14:textId="77777777" w:rsidR="004A7F7A" w:rsidRPr="004A7F7A" w:rsidRDefault="004A7F7A" w:rsidP="004A7F7A">
      <w:pPr>
        <w:spacing w:after="120" w:line="360" w:lineRule="auto"/>
        <w:jc w:val="center"/>
        <w:rPr>
          <w:rFonts w:ascii="Arial" w:eastAsia="Calibri" w:hAnsi="Arial" w:cs="Arial"/>
          <w:b/>
          <w:bCs/>
          <w:color w:val="1F3864" w:themeColor="accent1" w:themeShade="80"/>
          <w:sz w:val="40"/>
          <w:szCs w:val="40"/>
          <w:u w:color="1F497D"/>
        </w:rPr>
      </w:pPr>
    </w:p>
    <w:p w14:paraId="3AFFD370" w14:textId="77777777" w:rsidR="004A7F7A" w:rsidRPr="004A7F7A" w:rsidRDefault="004A7F7A" w:rsidP="004A7F7A">
      <w:pPr>
        <w:spacing w:after="120" w:line="360" w:lineRule="auto"/>
        <w:jc w:val="center"/>
        <w:rPr>
          <w:rFonts w:ascii="Arial" w:eastAsia="Calibri" w:hAnsi="Arial" w:cs="Arial"/>
          <w:b/>
          <w:bCs/>
          <w:color w:val="1F3864" w:themeColor="accent1" w:themeShade="80"/>
          <w:sz w:val="40"/>
          <w:szCs w:val="40"/>
          <w:u w:color="1F497D"/>
        </w:rPr>
      </w:pPr>
    </w:p>
    <w:p w14:paraId="6FCA8F7A" w14:textId="1A600D63" w:rsidR="00D65514" w:rsidRPr="00133F9C" w:rsidRDefault="00A246AB" w:rsidP="00133F9C">
      <w:pPr>
        <w:spacing w:after="120" w:line="360" w:lineRule="auto"/>
        <w:jc w:val="center"/>
        <w:rPr>
          <w:rFonts w:ascii="Garamond" w:eastAsia="Calibri" w:hAnsi="Garamond" w:cs="Arial"/>
          <w:b/>
          <w:bCs/>
          <w:color w:val="4472C4" w:themeColor="accent1"/>
          <w:sz w:val="40"/>
          <w:szCs w:val="40"/>
          <w:u w:color="1F497D"/>
        </w:rPr>
      </w:pPr>
      <w:r w:rsidRPr="00133F9C">
        <w:rPr>
          <w:rFonts w:ascii="Garamond" w:eastAsia="Calibri" w:hAnsi="Garamond" w:cs="Arial"/>
          <w:b/>
          <w:bCs/>
          <w:color w:val="4472C4" w:themeColor="accent1"/>
          <w:sz w:val="40"/>
          <w:szCs w:val="40"/>
          <w:u w:color="1F497D"/>
        </w:rPr>
        <w:t>PIAO</w:t>
      </w:r>
    </w:p>
    <w:p w14:paraId="048865E5" w14:textId="71EE61E8" w:rsidR="00A246AB" w:rsidRPr="00133F9C" w:rsidRDefault="00D65514" w:rsidP="00133F9C">
      <w:pPr>
        <w:spacing w:after="120" w:line="360" w:lineRule="auto"/>
        <w:jc w:val="center"/>
        <w:rPr>
          <w:rFonts w:ascii="Garamond" w:eastAsia="Calibri" w:hAnsi="Garamond" w:cs="Arial"/>
          <w:b/>
          <w:bCs/>
          <w:color w:val="4472C4" w:themeColor="accent1"/>
          <w:sz w:val="40"/>
          <w:szCs w:val="40"/>
          <w:u w:color="1F497D"/>
        </w:rPr>
      </w:pPr>
      <w:r w:rsidRPr="00133F9C">
        <w:rPr>
          <w:rFonts w:ascii="Garamond" w:eastAsia="Calibri" w:hAnsi="Garamond" w:cs="Arial"/>
          <w:b/>
          <w:bCs/>
          <w:color w:val="4472C4" w:themeColor="accent1"/>
          <w:sz w:val="40"/>
          <w:szCs w:val="40"/>
          <w:u w:color="1F497D"/>
        </w:rPr>
        <w:t>BOZZA SOTTOSEZIONE 2.3</w:t>
      </w:r>
    </w:p>
    <w:p w14:paraId="140B55BD" w14:textId="2C1A35A3" w:rsidR="00D65514" w:rsidRPr="00133F9C" w:rsidRDefault="00D65514" w:rsidP="00133F9C">
      <w:pPr>
        <w:spacing w:after="120" w:line="360" w:lineRule="auto"/>
        <w:jc w:val="center"/>
        <w:rPr>
          <w:rFonts w:ascii="Garamond" w:eastAsia="Calibri" w:hAnsi="Garamond" w:cs="Arial"/>
          <w:b/>
          <w:bCs/>
          <w:i/>
          <w:iCs/>
          <w:color w:val="4472C4" w:themeColor="accent1"/>
          <w:sz w:val="40"/>
          <w:szCs w:val="40"/>
          <w:u w:color="1F497D"/>
        </w:rPr>
      </w:pPr>
      <w:r w:rsidRPr="00133F9C">
        <w:rPr>
          <w:rFonts w:ascii="Garamond" w:eastAsia="Calibri" w:hAnsi="Garamond" w:cs="Arial"/>
          <w:b/>
          <w:bCs/>
          <w:i/>
          <w:iCs/>
          <w:color w:val="4472C4" w:themeColor="accent1"/>
          <w:sz w:val="40"/>
          <w:szCs w:val="40"/>
          <w:u w:color="1F497D"/>
        </w:rPr>
        <w:t>RISCHI CORRUTTIVI E TRASPARENZA</w:t>
      </w:r>
    </w:p>
    <w:p w14:paraId="7D8339B4" w14:textId="77777777" w:rsidR="00C032C6" w:rsidRPr="008E2B66" w:rsidRDefault="00D65514" w:rsidP="004A7F7A">
      <w:pPr>
        <w:spacing w:after="120" w:line="360" w:lineRule="auto"/>
        <w:jc w:val="center"/>
        <w:rPr>
          <w:rFonts w:ascii="Garamond" w:eastAsia="Calibri" w:hAnsi="Garamond" w:cs="Arial"/>
          <w:b/>
          <w:bCs/>
          <w:color w:val="2F5496" w:themeColor="accent1" w:themeShade="BF"/>
          <w:sz w:val="40"/>
          <w:szCs w:val="40"/>
          <w:u w:color="1F497D"/>
        </w:rPr>
      </w:pPr>
      <w:r w:rsidRPr="008E2B66">
        <w:rPr>
          <w:rFonts w:ascii="Garamond" w:eastAsia="Calibri" w:hAnsi="Garamond" w:cs="Arial"/>
          <w:b/>
          <w:bCs/>
          <w:color w:val="2F5496" w:themeColor="accent1" w:themeShade="BF"/>
          <w:sz w:val="40"/>
          <w:szCs w:val="40"/>
          <w:u w:color="1F497D"/>
        </w:rPr>
        <w:t xml:space="preserve"> </w:t>
      </w:r>
    </w:p>
    <w:p w14:paraId="5D8D7A03" w14:textId="77777777" w:rsidR="00C032C6" w:rsidRPr="008E2B66" w:rsidRDefault="00C032C6" w:rsidP="004A7F7A">
      <w:pPr>
        <w:spacing w:after="120" w:line="360" w:lineRule="auto"/>
        <w:jc w:val="center"/>
        <w:rPr>
          <w:rFonts w:ascii="Garamond" w:eastAsia="Calibri" w:hAnsi="Garamond" w:cs="Arial"/>
          <w:b/>
          <w:bCs/>
          <w:color w:val="2F5496" w:themeColor="accent1" w:themeShade="BF"/>
          <w:sz w:val="40"/>
          <w:szCs w:val="40"/>
          <w:u w:color="1F497D"/>
        </w:rPr>
      </w:pPr>
    </w:p>
    <w:p w14:paraId="59DD8F4E" w14:textId="77777777" w:rsidR="00C032C6" w:rsidRPr="008E2B66" w:rsidRDefault="00C032C6" w:rsidP="004A7F7A">
      <w:pPr>
        <w:spacing w:after="120" w:line="360" w:lineRule="auto"/>
        <w:jc w:val="center"/>
        <w:rPr>
          <w:rFonts w:ascii="Garamond" w:eastAsia="Calibri" w:hAnsi="Garamond" w:cs="Arial"/>
          <w:b/>
          <w:bCs/>
          <w:color w:val="2F5496" w:themeColor="accent1" w:themeShade="BF"/>
          <w:sz w:val="40"/>
          <w:szCs w:val="40"/>
          <w:u w:color="1F497D"/>
        </w:rPr>
      </w:pPr>
    </w:p>
    <w:p w14:paraId="6E7165EF" w14:textId="77777777" w:rsidR="00C032C6" w:rsidRPr="008E2B66" w:rsidRDefault="00C032C6" w:rsidP="004A7F7A">
      <w:pPr>
        <w:spacing w:after="120" w:line="360" w:lineRule="auto"/>
        <w:jc w:val="center"/>
        <w:rPr>
          <w:rFonts w:ascii="Garamond" w:eastAsia="Calibri" w:hAnsi="Garamond" w:cs="Arial"/>
          <w:b/>
          <w:bCs/>
          <w:color w:val="2F5496" w:themeColor="accent1" w:themeShade="BF"/>
          <w:sz w:val="40"/>
          <w:szCs w:val="40"/>
          <w:u w:color="1F497D"/>
        </w:rPr>
      </w:pPr>
    </w:p>
    <w:p w14:paraId="71B8420B" w14:textId="77777777" w:rsidR="00C032C6" w:rsidRPr="008E2B66" w:rsidRDefault="00C032C6" w:rsidP="004A7F7A">
      <w:pPr>
        <w:spacing w:after="120" w:line="360" w:lineRule="auto"/>
        <w:jc w:val="center"/>
        <w:rPr>
          <w:rFonts w:ascii="Garamond" w:eastAsia="Calibri" w:hAnsi="Garamond" w:cs="Arial"/>
          <w:b/>
          <w:bCs/>
          <w:color w:val="2F5496" w:themeColor="accent1" w:themeShade="BF"/>
          <w:sz w:val="40"/>
          <w:szCs w:val="40"/>
          <w:u w:color="1F497D"/>
        </w:rPr>
      </w:pPr>
    </w:p>
    <w:p w14:paraId="2A781CEF" w14:textId="77777777" w:rsidR="00C032C6" w:rsidRPr="008E2B66" w:rsidRDefault="00C032C6" w:rsidP="004A7F7A">
      <w:pPr>
        <w:spacing w:after="120" w:line="360" w:lineRule="auto"/>
        <w:jc w:val="center"/>
        <w:rPr>
          <w:rFonts w:ascii="Garamond" w:eastAsia="Calibri" w:hAnsi="Garamond" w:cs="Arial"/>
          <w:b/>
          <w:bCs/>
          <w:color w:val="2F5496" w:themeColor="accent1" w:themeShade="BF"/>
          <w:sz w:val="40"/>
          <w:szCs w:val="40"/>
          <w:u w:color="1F497D"/>
        </w:rPr>
      </w:pPr>
    </w:p>
    <w:p w14:paraId="1DA56DF5" w14:textId="77777777" w:rsidR="00C032C6" w:rsidRPr="008E2B66" w:rsidRDefault="00C032C6" w:rsidP="004A7F7A">
      <w:pPr>
        <w:spacing w:after="120" w:line="360" w:lineRule="auto"/>
        <w:jc w:val="center"/>
        <w:rPr>
          <w:rFonts w:ascii="Garamond" w:eastAsia="Calibri" w:hAnsi="Garamond" w:cs="Arial"/>
          <w:b/>
          <w:bCs/>
          <w:color w:val="2F5496" w:themeColor="accent1" w:themeShade="BF"/>
          <w:sz w:val="40"/>
          <w:szCs w:val="40"/>
          <w:u w:color="1F497D"/>
        </w:rPr>
      </w:pPr>
    </w:p>
    <w:p w14:paraId="52CD4288" w14:textId="77777777" w:rsidR="00C032C6" w:rsidRPr="008E2B66" w:rsidRDefault="00C032C6" w:rsidP="004A7F7A">
      <w:pPr>
        <w:spacing w:after="120" w:line="360" w:lineRule="auto"/>
        <w:jc w:val="center"/>
        <w:rPr>
          <w:rFonts w:ascii="Garamond" w:eastAsia="Calibri" w:hAnsi="Garamond" w:cs="Arial"/>
          <w:b/>
          <w:bCs/>
          <w:color w:val="2F5496" w:themeColor="accent1" w:themeShade="BF"/>
          <w:sz w:val="36"/>
          <w:szCs w:val="36"/>
          <w:u w:color="1F497D"/>
        </w:rPr>
      </w:pPr>
    </w:p>
    <w:p w14:paraId="1B0809CF" w14:textId="3D8DF082" w:rsidR="00D65514" w:rsidRPr="000053CF" w:rsidRDefault="00D65514" w:rsidP="004A7F7A">
      <w:pPr>
        <w:spacing w:after="120" w:line="360" w:lineRule="auto"/>
        <w:jc w:val="center"/>
        <w:rPr>
          <w:rFonts w:ascii="Garamond" w:eastAsia="Calibri" w:hAnsi="Garamond" w:cs="Arial"/>
          <w:b/>
          <w:bCs/>
          <w:color w:val="4472C4" w:themeColor="accent1"/>
          <w:sz w:val="36"/>
          <w:szCs w:val="36"/>
          <w:u w:color="1F497D"/>
        </w:rPr>
      </w:pPr>
      <w:r w:rsidRPr="000053CF">
        <w:rPr>
          <w:rFonts w:ascii="Garamond" w:eastAsia="Calibri" w:hAnsi="Garamond" w:cs="Arial"/>
          <w:b/>
          <w:bCs/>
          <w:color w:val="4472C4" w:themeColor="accent1"/>
          <w:sz w:val="36"/>
          <w:szCs w:val="36"/>
          <w:u w:color="1F497D"/>
        </w:rPr>
        <w:t>PIAO CREA 202</w:t>
      </w:r>
      <w:r w:rsidR="003603BB" w:rsidRPr="000053CF">
        <w:rPr>
          <w:rFonts w:ascii="Garamond" w:eastAsia="Calibri" w:hAnsi="Garamond" w:cs="Arial"/>
          <w:b/>
          <w:bCs/>
          <w:color w:val="4472C4" w:themeColor="accent1"/>
          <w:sz w:val="36"/>
          <w:szCs w:val="36"/>
          <w:u w:color="1F497D"/>
        </w:rPr>
        <w:t>6</w:t>
      </w:r>
      <w:r w:rsidR="00A246AB" w:rsidRPr="000053CF">
        <w:rPr>
          <w:rFonts w:ascii="Garamond" w:eastAsia="Calibri" w:hAnsi="Garamond" w:cs="Arial"/>
          <w:b/>
          <w:bCs/>
          <w:color w:val="4472C4" w:themeColor="accent1"/>
          <w:sz w:val="36"/>
          <w:szCs w:val="36"/>
          <w:u w:color="1F497D"/>
        </w:rPr>
        <w:t>/</w:t>
      </w:r>
      <w:r w:rsidRPr="000053CF">
        <w:rPr>
          <w:rFonts w:ascii="Garamond" w:eastAsia="Calibri" w:hAnsi="Garamond" w:cs="Arial"/>
          <w:b/>
          <w:bCs/>
          <w:color w:val="4472C4" w:themeColor="accent1"/>
          <w:sz w:val="36"/>
          <w:szCs w:val="36"/>
          <w:u w:color="1F497D"/>
        </w:rPr>
        <w:t>202</w:t>
      </w:r>
      <w:r w:rsidR="003603BB" w:rsidRPr="000053CF">
        <w:rPr>
          <w:rFonts w:ascii="Garamond" w:eastAsia="Calibri" w:hAnsi="Garamond" w:cs="Arial"/>
          <w:b/>
          <w:bCs/>
          <w:color w:val="4472C4" w:themeColor="accent1"/>
          <w:sz w:val="36"/>
          <w:szCs w:val="36"/>
          <w:u w:color="1F497D"/>
        </w:rPr>
        <w:t>8</w:t>
      </w:r>
    </w:p>
    <w:p w14:paraId="14413A51" w14:textId="1A91C786" w:rsidR="00E7307F" w:rsidRPr="008E2B66" w:rsidRDefault="00E7307F" w:rsidP="002E11C8">
      <w:pPr>
        <w:spacing w:after="120" w:line="264" w:lineRule="auto"/>
        <w:rPr>
          <w:rFonts w:ascii="Garamond" w:eastAsiaTheme="minorEastAsia" w:hAnsi="Garamond" w:cs="Arial"/>
          <w:b/>
          <w:bCs/>
        </w:rPr>
      </w:pPr>
    </w:p>
    <w:p w14:paraId="214426AD" w14:textId="77777777" w:rsidR="00A569A1" w:rsidRPr="008E2B66" w:rsidRDefault="00A569A1" w:rsidP="00B11810">
      <w:pPr>
        <w:spacing w:line="360" w:lineRule="auto"/>
        <w:jc w:val="both"/>
        <w:rPr>
          <w:rFonts w:ascii="Garamond" w:eastAsia="Calibri" w:hAnsi="Garamond" w:cs="Arial"/>
        </w:rPr>
      </w:pPr>
    </w:p>
    <w:p w14:paraId="71B18779" w14:textId="77777777" w:rsidR="00A246AB" w:rsidRDefault="00A246AB" w:rsidP="00F74DB7">
      <w:pPr>
        <w:spacing w:after="160" w:line="360" w:lineRule="auto"/>
        <w:jc w:val="both"/>
        <w:rPr>
          <w:rFonts w:ascii="Garamond" w:eastAsia="Aptos" w:hAnsi="Garamond" w:cs="Arial"/>
          <w:b/>
          <w:bCs/>
          <w:kern w:val="2"/>
          <w:sz w:val="26"/>
          <w:szCs w:val="26"/>
          <w14:ligatures w14:val="standardContextual"/>
        </w:rPr>
      </w:pPr>
    </w:p>
    <w:p w14:paraId="0CADE4DD" w14:textId="09508957" w:rsidR="00F74DB7" w:rsidRPr="008E2B66" w:rsidRDefault="00F74DB7" w:rsidP="00F74DB7">
      <w:pPr>
        <w:spacing w:after="160" w:line="360" w:lineRule="auto"/>
        <w:jc w:val="both"/>
        <w:rPr>
          <w:rFonts w:ascii="Garamond" w:eastAsia="Aptos" w:hAnsi="Garamond" w:cs="Arial"/>
          <w:b/>
          <w:bCs/>
          <w:kern w:val="2"/>
          <w:sz w:val="26"/>
          <w:szCs w:val="26"/>
          <w14:ligatures w14:val="standardContextual"/>
        </w:rPr>
      </w:pPr>
      <w:r w:rsidRPr="008E2B66">
        <w:rPr>
          <w:rFonts w:ascii="Garamond" w:eastAsia="Aptos" w:hAnsi="Garamond" w:cs="Arial"/>
          <w:b/>
          <w:bCs/>
          <w:kern w:val="2"/>
          <w:sz w:val="26"/>
          <w:szCs w:val="26"/>
          <w14:ligatures w14:val="standardContextual"/>
        </w:rPr>
        <w:lastRenderedPageBreak/>
        <w:t>SOTTOSEZIONE 2.3</w:t>
      </w:r>
      <w:r w:rsidR="008E18D8">
        <w:rPr>
          <w:rFonts w:ascii="Garamond" w:eastAsia="Aptos" w:hAnsi="Garamond" w:cs="Arial"/>
          <w:b/>
          <w:bCs/>
          <w:kern w:val="2"/>
          <w:sz w:val="26"/>
          <w:szCs w:val="26"/>
          <w14:ligatures w14:val="standardContextual"/>
        </w:rPr>
        <w:t xml:space="preserve"> - </w:t>
      </w:r>
      <w:bookmarkStart w:id="0" w:name="_Hlk216867221"/>
      <w:r w:rsidRPr="008E2B66">
        <w:rPr>
          <w:rFonts w:ascii="Garamond" w:eastAsia="Aptos" w:hAnsi="Garamond" w:cs="Arial"/>
          <w:b/>
          <w:bCs/>
          <w:kern w:val="2"/>
          <w:sz w:val="26"/>
          <w:szCs w:val="26"/>
          <w14:ligatures w14:val="standardContextual"/>
        </w:rPr>
        <w:t>Rischi corruttivi e trasparenza</w:t>
      </w:r>
      <w:bookmarkEnd w:id="0"/>
    </w:p>
    <w:p w14:paraId="5305EECC" w14:textId="2B53C3F2" w:rsidR="00F74DB7" w:rsidRPr="008E2B66" w:rsidRDefault="00F74DB7" w:rsidP="00F74DB7">
      <w:pPr>
        <w:tabs>
          <w:tab w:val="left" w:pos="3150"/>
        </w:tabs>
        <w:spacing w:after="160" w:line="360" w:lineRule="auto"/>
        <w:jc w:val="both"/>
        <w:rPr>
          <w:rFonts w:ascii="Garamond" w:eastAsia="Aptos" w:hAnsi="Garamond" w:cs="Arial"/>
          <w:b/>
          <w:bCs/>
          <w:kern w:val="2"/>
          <w:sz w:val="26"/>
          <w:szCs w:val="26"/>
          <w14:ligatures w14:val="standardContextual"/>
        </w:rPr>
      </w:pPr>
      <w:r w:rsidRPr="000053CF">
        <w:rPr>
          <w:rFonts w:ascii="Garamond" w:eastAsia="Aptos" w:hAnsi="Garamond" w:cs="Arial"/>
          <w:b/>
          <w:bCs/>
          <w:kern w:val="2"/>
          <w:sz w:val="26"/>
          <w:szCs w:val="26"/>
          <w14:ligatures w14:val="standardContextual"/>
        </w:rPr>
        <w:t>2.3.1 Il quadro generale</w:t>
      </w:r>
      <w:r w:rsidR="00FB1853" w:rsidRPr="000053CF">
        <w:rPr>
          <w:rFonts w:ascii="Garamond" w:eastAsia="Aptos" w:hAnsi="Garamond" w:cs="Arial"/>
          <w:b/>
          <w:bCs/>
          <w:kern w:val="2"/>
          <w:sz w:val="26"/>
          <w:szCs w:val="26"/>
          <w14:ligatures w14:val="standardContextual"/>
        </w:rPr>
        <w:t xml:space="preserve"> </w:t>
      </w:r>
    </w:p>
    <w:p w14:paraId="18F2A5F0" w14:textId="7D769620" w:rsidR="00FB1853" w:rsidRPr="008E2B66" w:rsidRDefault="00FB1853" w:rsidP="00FB1853">
      <w:pPr>
        <w:spacing w:after="80" w:line="276" w:lineRule="auto"/>
        <w:jc w:val="both"/>
        <w:rPr>
          <w:rFonts w:ascii="Garamond" w:eastAsia="Aptos" w:hAnsi="Garamond" w:cs="Arial"/>
          <w:kern w:val="2"/>
          <w:sz w:val="26"/>
          <w:szCs w:val="26"/>
          <w14:ligatures w14:val="standardContextual"/>
        </w:rPr>
      </w:pPr>
      <w:r w:rsidRPr="008E2B66">
        <w:rPr>
          <w:rFonts w:ascii="Garamond" w:eastAsia="Aptos" w:hAnsi="Garamond" w:cs="Arial"/>
          <w:kern w:val="2"/>
          <w:sz w:val="26"/>
          <w:szCs w:val="26"/>
          <w14:ligatures w14:val="standardContextual"/>
        </w:rPr>
        <w:t xml:space="preserve">Le strategie di prevenzione della corruzione per </w:t>
      </w:r>
      <w:r w:rsidR="008E2B66">
        <w:rPr>
          <w:rFonts w:ascii="Garamond" w:eastAsia="Aptos" w:hAnsi="Garamond" w:cs="Arial"/>
          <w:kern w:val="2"/>
          <w:sz w:val="26"/>
          <w:szCs w:val="26"/>
          <w14:ligatures w14:val="standardContextual"/>
        </w:rPr>
        <w:t xml:space="preserve">l’annualità </w:t>
      </w:r>
      <w:r w:rsidRPr="008E2B66">
        <w:rPr>
          <w:rFonts w:ascii="Garamond" w:eastAsia="Aptos" w:hAnsi="Garamond" w:cs="Arial"/>
          <w:kern w:val="2"/>
          <w:sz w:val="26"/>
          <w:szCs w:val="26"/>
          <w14:ligatures w14:val="standardContextual"/>
        </w:rPr>
        <w:t xml:space="preserve">2026 </w:t>
      </w:r>
      <w:r w:rsidR="008E2B66">
        <w:rPr>
          <w:rFonts w:ascii="Garamond" w:eastAsia="Aptos" w:hAnsi="Garamond" w:cs="Arial"/>
          <w:kern w:val="2"/>
          <w:sz w:val="26"/>
          <w:szCs w:val="26"/>
          <w14:ligatures w14:val="standardContextual"/>
        </w:rPr>
        <w:t>presentano una</w:t>
      </w:r>
      <w:r w:rsidRPr="008E2B66">
        <w:rPr>
          <w:rFonts w:ascii="Garamond" w:eastAsia="Aptos" w:hAnsi="Garamond" w:cs="Arial"/>
          <w:kern w:val="2"/>
          <w:sz w:val="26"/>
          <w:szCs w:val="26"/>
          <w14:ligatures w14:val="standardContextual"/>
        </w:rPr>
        <w:t xml:space="preserve"> continuità con l’attività svolta negli anni precedenti, </w:t>
      </w:r>
      <w:r w:rsidR="008E2B66">
        <w:rPr>
          <w:rFonts w:ascii="Garamond" w:eastAsia="Aptos" w:hAnsi="Garamond" w:cs="Arial"/>
          <w:kern w:val="2"/>
          <w:sz w:val="26"/>
          <w:szCs w:val="26"/>
          <w14:ligatures w14:val="standardContextual"/>
        </w:rPr>
        <w:t xml:space="preserve">nelle more del completamento e conseguente attuazione </w:t>
      </w:r>
      <w:r w:rsidRPr="008E2B66">
        <w:rPr>
          <w:rFonts w:ascii="Garamond" w:eastAsia="Aptos" w:hAnsi="Garamond" w:cs="Arial"/>
          <w:kern w:val="2"/>
          <w:sz w:val="26"/>
          <w:szCs w:val="26"/>
          <w14:ligatures w14:val="standardContextual"/>
        </w:rPr>
        <w:t>dell</w:t>
      </w:r>
      <w:r w:rsidR="006E79D0">
        <w:rPr>
          <w:rFonts w:ascii="Garamond" w:eastAsia="Aptos" w:hAnsi="Garamond" w:cs="Arial"/>
          <w:kern w:val="2"/>
          <w:sz w:val="26"/>
          <w:szCs w:val="26"/>
          <w14:ligatures w14:val="standardContextual"/>
        </w:rPr>
        <w:t>a generale ri</w:t>
      </w:r>
      <w:r w:rsidRPr="008E2B66">
        <w:rPr>
          <w:rFonts w:ascii="Garamond" w:eastAsia="Aptos" w:hAnsi="Garamond" w:cs="Arial"/>
          <w:kern w:val="2"/>
          <w:sz w:val="26"/>
          <w:szCs w:val="26"/>
          <w14:ligatures w14:val="standardContextual"/>
        </w:rPr>
        <w:t>organizzazione</w:t>
      </w:r>
      <w:r w:rsidR="008E2B66">
        <w:rPr>
          <w:rFonts w:ascii="Garamond" w:eastAsia="Aptos" w:hAnsi="Garamond" w:cs="Arial"/>
          <w:kern w:val="2"/>
          <w:sz w:val="26"/>
          <w:szCs w:val="26"/>
          <w14:ligatures w14:val="standardContextual"/>
        </w:rPr>
        <w:t xml:space="preserve"> dell’</w:t>
      </w:r>
      <w:r w:rsidR="006E79D0">
        <w:rPr>
          <w:rFonts w:ascii="Garamond" w:eastAsia="Aptos" w:hAnsi="Garamond" w:cs="Arial"/>
          <w:kern w:val="2"/>
          <w:sz w:val="26"/>
          <w:szCs w:val="26"/>
          <w14:ligatures w14:val="standardContextual"/>
        </w:rPr>
        <w:t>A</w:t>
      </w:r>
      <w:r w:rsidR="008E2B66">
        <w:rPr>
          <w:rFonts w:ascii="Garamond" w:eastAsia="Aptos" w:hAnsi="Garamond" w:cs="Arial"/>
          <w:kern w:val="2"/>
          <w:sz w:val="26"/>
          <w:szCs w:val="26"/>
          <w14:ligatures w14:val="standardContextual"/>
        </w:rPr>
        <w:t>mministrazione</w:t>
      </w:r>
      <w:r w:rsidRPr="008E2B66">
        <w:rPr>
          <w:rFonts w:ascii="Garamond" w:eastAsia="Aptos" w:hAnsi="Garamond" w:cs="Arial"/>
          <w:kern w:val="2"/>
          <w:sz w:val="26"/>
          <w:szCs w:val="26"/>
          <w14:ligatures w14:val="standardContextual"/>
        </w:rPr>
        <w:t xml:space="preserve"> centrale, </w:t>
      </w:r>
      <w:r w:rsidR="008E2B66">
        <w:rPr>
          <w:rFonts w:ascii="Garamond" w:eastAsia="Aptos" w:hAnsi="Garamond" w:cs="Arial"/>
          <w:kern w:val="2"/>
          <w:sz w:val="26"/>
          <w:szCs w:val="26"/>
          <w14:ligatures w14:val="standardContextual"/>
        </w:rPr>
        <w:t>già avviat</w:t>
      </w:r>
      <w:r w:rsidR="006257A6">
        <w:rPr>
          <w:rFonts w:ascii="Garamond" w:eastAsia="Aptos" w:hAnsi="Garamond" w:cs="Arial"/>
          <w:kern w:val="2"/>
          <w:sz w:val="26"/>
          <w:szCs w:val="26"/>
          <w14:ligatures w14:val="standardContextual"/>
        </w:rPr>
        <w:t>a</w:t>
      </w:r>
      <w:r w:rsidR="008E2B66">
        <w:rPr>
          <w:rFonts w:ascii="Garamond" w:eastAsia="Aptos" w:hAnsi="Garamond" w:cs="Arial"/>
          <w:kern w:val="2"/>
          <w:sz w:val="26"/>
          <w:szCs w:val="26"/>
          <w14:ligatures w14:val="standardContextual"/>
        </w:rPr>
        <w:t xml:space="preserve"> </w:t>
      </w:r>
      <w:r w:rsidRPr="008E2B66">
        <w:rPr>
          <w:rFonts w:ascii="Garamond" w:eastAsia="Aptos" w:hAnsi="Garamond" w:cs="Arial"/>
          <w:kern w:val="2"/>
          <w:sz w:val="26"/>
          <w:szCs w:val="26"/>
          <w14:ligatures w14:val="standardContextual"/>
        </w:rPr>
        <w:t>in parte nel corso del 2025</w:t>
      </w:r>
      <w:r w:rsidR="008E2B66">
        <w:rPr>
          <w:rFonts w:ascii="Garamond" w:eastAsia="Aptos" w:hAnsi="Garamond" w:cs="Arial"/>
          <w:kern w:val="2"/>
          <w:sz w:val="26"/>
          <w:szCs w:val="26"/>
          <w14:ligatures w14:val="standardContextual"/>
        </w:rPr>
        <w:t xml:space="preserve">, </w:t>
      </w:r>
      <w:r w:rsidR="008E2B66" w:rsidRPr="00893837">
        <w:rPr>
          <w:rFonts w:ascii="Garamond" w:eastAsia="Aptos" w:hAnsi="Garamond" w:cs="Arial"/>
          <w:kern w:val="2"/>
          <w:sz w:val="26"/>
          <w:szCs w:val="26"/>
          <w14:ligatures w14:val="standardContextual"/>
        </w:rPr>
        <w:t>nonché della rete della ricerca.</w:t>
      </w:r>
      <w:r w:rsidR="008E2B66">
        <w:rPr>
          <w:rFonts w:ascii="Garamond" w:eastAsia="Aptos" w:hAnsi="Garamond" w:cs="Arial"/>
          <w:kern w:val="2"/>
          <w:sz w:val="26"/>
          <w:szCs w:val="26"/>
          <w14:ligatures w14:val="standardContextual"/>
        </w:rPr>
        <w:t xml:space="preserve"> </w:t>
      </w:r>
    </w:p>
    <w:p w14:paraId="2694BB29" w14:textId="4EFC6C6F" w:rsidR="008E2B66" w:rsidRPr="008E2B66" w:rsidRDefault="008E2B66" w:rsidP="008E2B66">
      <w:pPr>
        <w:spacing w:after="80" w:line="276" w:lineRule="auto"/>
        <w:jc w:val="both"/>
        <w:rPr>
          <w:rFonts w:ascii="Garamond" w:eastAsia="Aptos" w:hAnsi="Garamond" w:cs="Arial"/>
          <w:kern w:val="2"/>
          <w:sz w:val="26"/>
          <w:szCs w:val="26"/>
          <w14:ligatures w14:val="standardContextual"/>
        </w:rPr>
      </w:pPr>
      <w:r>
        <w:rPr>
          <w:rFonts w:ascii="Garamond" w:eastAsia="Aptos" w:hAnsi="Garamond" w:cs="Arial"/>
          <w:kern w:val="2"/>
          <w:sz w:val="26"/>
          <w:szCs w:val="26"/>
          <w14:ligatures w14:val="standardContextual"/>
        </w:rPr>
        <w:t xml:space="preserve">In data </w:t>
      </w:r>
      <w:r w:rsidRPr="008E2B66">
        <w:rPr>
          <w:rFonts w:ascii="Garamond" w:eastAsia="Aptos" w:hAnsi="Garamond" w:cs="Arial"/>
          <w:kern w:val="2"/>
          <w:sz w:val="26"/>
          <w:szCs w:val="26"/>
          <w14:ligatures w14:val="standardContextual"/>
        </w:rPr>
        <w:t xml:space="preserve">9 gennaio 2024 </w:t>
      </w:r>
      <w:r w:rsidR="00FB1853" w:rsidRPr="008E2B66">
        <w:rPr>
          <w:rFonts w:ascii="Garamond" w:eastAsia="Aptos" w:hAnsi="Garamond" w:cs="Arial"/>
          <w:kern w:val="2"/>
          <w:sz w:val="26"/>
          <w:szCs w:val="26"/>
          <w14:ligatures w14:val="standardContextual"/>
        </w:rPr>
        <w:t xml:space="preserve">è </w:t>
      </w:r>
      <w:r w:rsidR="00FB1853" w:rsidRPr="00893837">
        <w:rPr>
          <w:rFonts w:ascii="Garamond" w:eastAsia="Aptos" w:hAnsi="Garamond" w:cs="Arial"/>
          <w:kern w:val="2"/>
          <w:sz w:val="26"/>
          <w:szCs w:val="26"/>
          <w14:ligatures w14:val="standardContextual"/>
        </w:rPr>
        <w:t>stato approvato</w:t>
      </w:r>
      <w:r w:rsidR="00FB1853" w:rsidRPr="008E2B66">
        <w:rPr>
          <w:rFonts w:ascii="Garamond" w:eastAsia="Aptos" w:hAnsi="Garamond" w:cs="Arial"/>
          <w:kern w:val="2"/>
          <w:sz w:val="26"/>
          <w:szCs w:val="26"/>
          <w14:ligatures w14:val="standardContextual"/>
        </w:rPr>
        <w:t xml:space="preserve"> con </w:t>
      </w:r>
      <w:r w:rsidR="00FB1853" w:rsidRPr="00893837">
        <w:rPr>
          <w:rFonts w:ascii="Garamond" w:eastAsia="Aptos" w:hAnsi="Garamond" w:cs="Arial"/>
          <w:kern w:val="2"/>
          <w:sz w:val="26"/>
          <w:szCs w:val="26"/>
          <w14:ligatures w14:val="standardContextual"/>
        </w:rPr>
        <w:t>decreto MASAF</w:t>
      </w:r>
      <w:r w:rsidR="00F67792" w:rsidRPr="00893837">
        <w:rPr>
          <w:rFonts w:ascii="Garamond" w:eastAsia="Aptos" w:hAnsi="Garamond" w:cs="Arial"/>
          <w:kern w:val="2"/>
          <w:sz w:val="26"/>
          <w:szCs w:val="26"/>
          <w14:ligatures w14:val="standardContextual"/>
        </w:rPr>
        <w:t xml:space="preserve"> di concerto con </w:t>
      </w:r>
      <w:r w:rsidR="00FB1853" w:rsidRPr="00893837">
        <w:rPr>
          <w:rFonts w:ascii="Garamond" w:eastAsia="Aptos" w:hAnsi="Garamond" w:cs="Arial"/>
          <w:kern w:val="2"/>
          <w:sz w:val="26"/>
          <w:szCs w:val="26"/>
          <w14:ligatures w14:val="standardContextual"/>
        </w:rPr>
        <w:t>MEF</w:t>
      </w:r>
      <w:r w:rsidR="00FB1853" w:rsidRPr="008E2B66">
        <w:rPr>
          <w:rFonts w:ascii="Garamond" w:eastAsia="Aptos" w:hAnsi="Garamond" w:cs="Arial"/>
          <w:kern w:val="2"/>
          <w:sz w:val="26"/>
          <w:szCs w:val="26"/>
          <w14:ligatures w14:val="standardContextual"/>
        </w:rPr>
        <w:t xml:space="preserve"> n. 7439 il nuovo Statuto del CREA, </w:t>
      </w:r>
      <w:r w:rsidRPr="008E2B66">
        <w:rPr>
          <w:rFonts w:ascii="Garamond" w:eastAsia="Aptos" w:hAnsi="Garamond" w:cs="Arial"/>
          <w:kern w:val="2"/>
          <w:sz w:val="26"/>
          <w:szCs w:val="26"/>
          <w14:ligatures w14:val="standardContextual"/>
        </w:rPr>
        <w:t>con DPR del 28 febbraio 2024</w:t>
      </w:r>
      <w:r>
        <w:rPr>
          <w:rFonts w:ascii="Garamond" w:eastAsia="Aptos" w:hAnsi="Garamond" w:cs="Arial"/>
          <w:kern w:val="2"/>
          <w:sz w:val="26"/>
          <w:szCs w:val="26"/>
          <w14:ligatures w14:val="standardContextual"/>
        </w:rPr>
        <w:t xml:space="preserve"> </w:t>
      </w:r>
      <w:r w:rsidRPr="008E2B66">
        <w:rPr>
          <w:rFonts w:ascii="Garamond" w:eastAsia="Aptos" w:hAnsi="Garamond" w:cs="Arial"/>
          <w:kern w:val="2"/>
          <w:sz w:val="26"/>
          <w:szCs w:val="26"/>
          <w14:ligatures w14:val="standardContextual"/>
        </w:rPr>
        <w:t xml:space="preserve">è stato nominato </w:t>
      </w:r>
      <w:r w:rsidR="00FB1853" w:rsidRPr="008E2B66">
        <w:rPr>
          <w:rFonts w:ascii="Garamond" w:eastAsia="Aptos" w:hAnsi="Garamond" w:cs="Arial"/>
          <w:kern w:val="2"/>
          <w:sz w:val="26"/>
          <w:szCs w:val="26"/>
          <w14:ligatures w14:val="standardContextual"/>
        </w:rPr>
        <w:t xml:space="preserve">il Presidente e </w:t>
      </w:r>
      <w:r w:rsidRPr="008E2B66">
        <w:rPr>
          <w:rFonts w:ascii="Garamond" w:eastAsia="Aptos" w:hAnsi="Garamond" w:cs="Arial"/>
          <w:kern w:val="2"/>
          <w:sz w:val="26"/>
          <w:szCs w:val="26"/>
          <w14:ligatures w14:val="standardContextual"/>
        </w:rPr>
        <w:t xml:space="preserve">con </w:t>
      </w:r>
      <w:r w:rsidR="00F67792">
        <w:rPr>
          <w:rFonts w:ascii="Garamond" w:eastAsia="Aptos" w:hAnsi="Garamond" w:cs="Arial"/>
          <w:kern w:val="2"/>
          <w:sz w:val="26"/>
          <w:szCs w:val="26"/>
          <w14:ligatures w14:val="standardContextual"/>
        </w:rPr>
        <w:t xml:space="preserve">successivo </w:t>
      </w:r>
      <w:r w:rsidR="00BC31B4">
        <w:rPr>
          <w:rFonts w:ascii="Garamond" w:eastAsia="Aptos" w:hAnsi="Garamond" w:cs="Arial"/>
          <w:kern w:val="2"/>
          <w:sz w:val="26"/>
          <w:szCs w:val="26"/>
          <w14:ligatures w14:val="standardContextual"/>
        </w:rPr>
        <w:t>D</w:t>
      </w:r>
      <w:r w:rsidRPr="008E2B66">
        <w:rPr>
          <w:rFonts w:ascii="Garamond" w:eastAsia="Aptos" w:hAnsi="Garamond" w:cs="Arial"/>
          <w:kern w:val="2"/>
          <w:sz w:val="26"/>
          <w:szCs w:val="26"/>
          <w14:ligatures w14:val="standardContextual"/>
        </w:rPr>
        <w:t>ecreto n.</w:t>
      </w:r>
      <w:r w:rsidR="00BC31B4">
        <w:rPr>
          <w:rFonts w:ascii="Garamond" w:eastAsia="Aptos" w:hAnsi="Garamond" w:cs="Arial"/>
          <w:kern w:val="2"/>
          <w:sz w:val="26"/>
          <w:szCs w:val="26"/>
          <w14:ligatures w14:val="standardContextual"/>
        </w:rPr>
        <w:t xml:space="preserve"> </w:t>
      </w:r>
      <w:r w:rsidRPr="008E2B66">
        <w:rPr>
          <w:rFonts w:ascii="Garamond" w:eastAsia="Aptos" w:hAnsi="Garamond" w:cs="Arial"/>
          <w:kern w:val="2"/>
          <w:sz w:val="26"/>
          <w:szCs w:val="26"/>
          <w14:ligatures w14:val="standardContextual"/>
        </w:rPr>
        <w:t>0141328 del 25 marzo 2024 il nuovo Consiglio di amministrazione</w:t>
      </w:r>
      <w:r w:rsidR="00CF7353">
        <w:rPr>
          <w:rFonts w:ascii="Garamond" w:eastAsia="Aptos" w:hAnsi="Garamond" w:cs="Arial"/>
          <w:kern w:val="2"/>
          <w:sz w:val="26"/>
          <w:szCs w:val="26"/>
          <w14:ligatures w14:val="standardContextual"/>
        </w:rPr>
        <w:t>.</w:t>
      </w:r>
      <w:r w:rsidRPr="008E2B66">
        <w:rPr>
          <w:rFonts w:ascii="Garamond" w:eastAsia="Aptos" w:hAnsi="Garamond" w:cs="Arial"/>
          <w:kern w:val="2"/>
          <w:sz w:val="26"/>
          <w:szCs w:val="26"/>
          <w14:ligatures w14:val="standardContextual"/>
        </w:rPr>
        <w:t xml:space="preserve"> </w:t>
      </w:r>
      <w:r>
        <w:rPr>
          <w:rFonts w:ascii="Garamond" w:eastAsia="Aptos" w:hAnsi="Garamond" w:cs="Arial"/>
          <w:kern w:val="2"/>
          <w:sz w:val="26"/>
          <w:szCs w:val="26"/>
          <w14:ligatures w14:val="standardContextual"/>
        </w:rPr>
        <w:t xml:space="preserve"> </w:t>
      </w:r>
    </w:p>
    <w:p w14:paraId="68B75B1B" w14:textId="09DB54C1" w:rsidR="006E79D0" w:rsidRDefault="00FB1853" w:rsidP="00FB1853">
      <w:pPr>
        <w:pStyle w:val="Default"/>
        <w:spacing w:line="276" w:lineRule="auto"/>
        <w:jc w:val="both"/>
        <w:rPr>
          <w:rFonts w:ascii="Garamond" w:eastAsia="Aptos" w:hAnsi="Garamond"/>
          <w:kern w:val="2"/>
          <w:sz w:val="26"/>
          <w:szCs w:val="26"/>
          <w14:ligatures w14:val="standardContextual"/>
        </w:rPr>
      </w:pPr>
      <w:r w:rsidRPr="008E2B66">
        <w:rPr>
          <w:rFonts w:ascii="Garamond" w:eastAsia="Aptos" w:hAnsi="Garamond"/>
          <w:kern w:val="2"/>
          <w:sz w:val="26"/>
          <w:szCs w:val="26"/>
          <w14:ligatures w14:val="standardContextual"/>
        </w:rPr>
        <w:t xml:space="preserve">In </w:t>
      </w:r>
      <w:r w:rsidR="006E79D0">
        <w:rPr>
          <w:rFonts w:ascii="Garamond" w:eastAsia="Aptos" w:hAnsi="Garamond"/>
          <w:kern w:val="2"/>
          <w:sz w:val="26"/>
          <w:szCs w:val="26"/>
          <w14:ligatures w14:val="standardContextual"/>
        </w:rPr>
        <w:t>riferimento alla</w:t>
      </w:r>
      <w:r w:rsidRPr="008E2B66">
        <w:rPr>
          <w:rFonts w:ascii="Garamond" w:eastAsia="Aptos" w:hAnsi="Garamond"/>
          <w:kern w:val="2"/>
          <w:sz w:val="26"/>
          <w:szCs w:val="26"/>
          <w14:ligatures w14:val="standardContextual"/>
        </w:rPr>
        <w:t xml:space="preserve"> riorganizzazione dell’Amministrazione centrale, </w:t>
      </w:r>
      <w:r w:rsidR="006E79D0">
        <w:rPr>
          <w:rFonts w:ascii="Garamond" w:eastAsia="Aptos" w:hAnsi="Garamond"/>
          <w:kern w:val="2"/>
          <w:sz w:val="26"/>
          <w:szCs w:val="26"/>
          <w14:ligatures w14:val="standardContextual"/>
        </w:rPr>
        <w:t xml:space="preserve">la previsione è attualmente di </w:t>
      </w:r>
      <w:r w:rsidR="006257A6">
        <w:rPr>
          <w:rFonts w:ascii="Garamond" w:eastAsia="Aptos" w:hAnsi="Garamond"/>
          <w:kern w:val="2"/>
          <w:sz w:val="26"/>
          <w:szCs w:val="26"/>
          <w14:ligatures w14:val="standardContextual"/>
        </w:rPr>
        <w:t xml:space="preserve">attuarla </w:t>
      </w:r>
      <w:r w:rsidR="006E79D0">
        <w:rPr>
          <w:rFonts w:ascii="Garamond" w:eastAsia="Aptos" w:hAnsi="Garamond"/>
          <w:kern w:val="2"/>
          <w:sz w:val="26"/>
          <w:szCs w:val="26"/>
          <w14:ligatures w14:val="standardContextual"/>
        </w:rPr>
        <w:t xml:space="preserve">nei primi mesi </w:t>
      </w:r>
      <w:r w:rsidRPr="008E2B66">
        <w:rPr>
          <w:rFonts w:ascii="Garamond" w:eastAsia="Aptos" w:hAnsi="Garamond"/>
          <w:kern w:val="2"/>
          <w:sz w:val="26"/>
          <w:szCs w:val="26"/>
          <w14:ligatures w14:val="standardContextual"/>
        </w:rPr>
        <w:t xml:space="preserve">nel 2026. </w:t>
      </w:r>
    </w:p>
    <w:p w14:paraId="09BDE1EF" w14:textId="2AD881E8" w:rsidR="00FB1853" w:rsidRPr="008E2B66" w:rsidRDefault="006E79D0" w:rsidP="00FB1853">
      <w:pPr>
        <w:pStyle w:val="Default"/>
        <w:spacing w:line="276" w:lineRule="auto"/>
        <w:jc w:val="both"/>
        <w:rPr>
          <w:rFonts w:ascii="Garamond" w:hAnsi="Garamond"/>
          <w:sz w:val="26"/>
          <w:szCs w:val="26"/>
        </w:rPr>
      </w:pPr>
      <w:r>
        <w:rPr>
          <w:rFonts w:ascii="Garamond" w:eastAsia="Aptos" w:hAnsi="Garamond"/>
          <w:kern w:val="2"/>
          <w:sz w:val="26"/>
          <w:szCs w:val="26"/>
          <w14:ligatures w14:val="standardContextual"/>
        </w:rPr>
        <w:t>C</w:t>
      </w:r>
      <w:r w:rsidR="00FB1853" w:rsidRPr="008E2B66">
        <w:rPr>
          <w:rFonts w:ascii="Garamond" w:eastAsia="Aptos" w:hAnsi="Garamond"/>
          <w:kern w:val="2"/>
          <w:sz w:val="26"/>
          <w:szCs w:val="26"/>
          <w14:ligatures w14:val="standardContextual"/>
        </w:rPr>
        <w:t xml:space="preserve">on decreto </w:t>
      </w:r>
      <w:r w:rsidR="006257A6">
        <w:rPr>
          <w:rFonts w:ascii="Garamond" w:eastAsia="Aptos" w:hAnsi="Garamond"/>
          <w:kern w:val="2"/>
          <w:sz w:val="26"/>
          <w:szCs w:val="26"/>
          <w14:ligatures w14:val="standardContextual"/>
        </w:rPr>
        <w:t xml:space="preserve">del </w:t>
      </w:r>
      <w:r w:rsidR="00FB1853" w:rsidRPr="008E2B66">
        <w:rPr>
          <w:rFonts w:ascii="Garamond" w:eastAsia="Aptos" w:hAnsi="Garamond"/>
          <w:kern w:val="2"/>
          <w:sz w:val="26"/>
          <w:szCs w:val="26"/>
          <w14:ligatures w14:val="standardContextual"/>
        </w:rPr>
        <w:t>D</w:t>
      </w:r>
      <w:r w:rsidR="006257A6">
        <w:rPr>
          <w:rFonts w:ascii="Garamond" w:eastAsia="Aptos" w:hAnsi="Garamond"/>
          <w:kern w:val="2"/>
          <w:sz w:val="26"/>
          <w:szCs w:val="26"/>
          <w14:ligatures w14:val="standardContextual"/>
        </w:rPr>
        <w:t xml:space="preserve">irettore </w:t>
      </w:r>
      <w:r w:rsidR="00FB1853" w:rsidRPr="008E2B66">
        <w:rPr>
          <w:rFonts w:ascii="Garamond" w:eastAsia="Aptos" w:hAnsi="Garamond"/>
          <w:kern w:val="2"/>
          <w:sz w:val="26"/>
          <w:szCs w:val="26"/>
          <w14:ligatures w14:val="standardContextual"/>
        </w:rPr>
        <w:t>G</w:t>
      </w:r>
      <w:r w:rsidR="006257A6">
        <w:rPr>
          <w:rFonts w:ascii="Garamond" w:eastAsia="Aptos" w:hAnsi="Garamond"/>
          <w:kern w:val="2"/>
          <w:sz w:val="26"/>
          <w:szCs w:val="26"/>
          <w14:ligatures w14:val="standardContextual"/>
        </w:rPr>
        <w:t>enerale</w:t>
      </w:r>
      <w:r w:rsidR="00CF7353">
        <w:rPr>
          <w:rFonts w:ascii="Garamond" w:eastAsia="Aptos" w:hAnsi="Garamond"/>
          <w:kern w:val="2"/>
          <w:sz w:val="26"/>
          <w:szCs w:val="26"/>
          <w14:ligatures w14:val="standardContextual"/>
        </w:rPr>
        <w:t xml:space="preserve"> </w:t>
      </w:r>
      <w:r w:rsidR="006257A6">
        <w:rPr>
          <w:rFonts w:ascii="Garamond" w:eastAsia="Aptos" w:hAnsi="Garamond"/>
          <w:kern w:val="2"/>
          <w:sz w:val="26"/>
          <w:szCs w:val="26"/>
          <w14:ligatures w14:val="standardContextual"/>
        </w:rPr>
        <w:t>n.</w:t>
      </w:r>
      <w:r w:rsidR="00FB1853" w:rsidRPr="008E2B66">
        <w:rPr>
          <w:rFonts w:ascii="Garamond" w:eastAsia="Aptos" w:hAnsi="Garamond"/>
          <w:kern w:val="2"/>
          <w:sz w:val="26"/>
          <w:szCs w:val="26"/>
          <w14:ligatures w14:val="standardContextual"/>
        </w:rPr>
        <w:t xml:space="preserve"> 28218 dell’11 aprile 2025, è stata effettuata una parziale modifica dell’assetto </w:t>
      </w:r>
      <w:r w:rsidRPr="00BC31B4">
        <w:rPr>
          <w:rFonts w:ascii="Garamond" w:eastAsia="Aptos" w:hAnsi="Garamond"/>
          <w:kern w:val="2"/>
          <w:sz w:val="26"/>
          <w:szCs w:val="26"/>
          <w14:ligatures w14:val="standardContextual"/>
        </w:rPr>
        <w:t>organizzativo</w:t>
      </w:r>
      <w:r>
        <w:rPr>
          <w:rFonts w:ascii="Garamond" w:eastAsia="Aptos" w:hAnsi="Garamond"/>
          <w:kern w:val="2"/>
          <w:sz w:val="26"/>
          <w:szCs w:val="26"/>
          <w14:ligatures w14:val="standardContextual"/>
        </w:rPr>
        <w:t xml:space="preserve"> per cui, a decorrere </w:t>
      </w:r>
      <w:r w:rsidR="00FB1853" w:rsidRPr="008E2B66">
        <w:rPr>
          <w:rFonts w:ascii="Garamond" w:eastAsia="Aptos" w:hAnsi="Garamond"/>
          <w:kern w:val="2"/>
          <w:sz w:val="26"/>
          <w:szCs w:val="26"/>
          <w14:ligatures w14:val="standardContextual"/>
        </w:rPr>
        <w:t>dal 2 maggio 2025 sono state attribuite al Direttore tecnico</w:t>
      </w:r>
      <w:r w:rsidR="006257A6">
        <w:rPr>
          <w:rFonts w:ascii="Garamond" w:eastAsia="Aptos" w:hAnsi="Garamond"/>
          <w:kern w:val="2"/>
          <w:sz w:val="26"/>
          <w:szCs w:val="26"/>
          <w14:ligatures w14:val="standardContextual"/>
        </w:rPr>
        <w:t>-</w:t>
      </w:r>
      <w:r w:rsidR="00FB1853" w:rsidRPr="008E2B66">
        <w:rPr>
          <w:rFonts w:ascii="Garamond" w:eastAsia="Aptos" w:hAnsi="Garamond"/>
          <w:kern w:val="2"/>
          <w:sz w:val="26"/>
          <w:szCs w:val="26"/>
          <w14:ligatures w14:val="standardContextual"/>
        </w:rPr>
        <w:t>scientifico</w:t>
      </w:r>
      <w:r>
        <w:rPr>
          <w:rFonts w:ascii="Garamond" w:eastAsia="Aptos" w:hAnsi="Garamond"/>
          <w:kern w:val="2"/>
          <w:sz w:val="26"/>
          <w:szCs w:val="26"/>
          <w14:ligatures w14:val="standardContextual"/>
        </w:rPr>
        <w:t xml:space="preserve"> - </w:t>
      </w:r>
      <w:r w:rsidR="00FB1853" w:rsidRPr="008E2B66">
        <w:rPr>
          <w:rFonts w:ascii="Garamond" w:eastAsia="Aptos" w:hAnsi="Garamond"/>
          <w:kern w:val="2"/>
          <w:sz w:val="26"/>
          <w:szCs w:val="26"/>
          <w14:ligatures w14:val="standardContextual"/>
        </w:rPr>
        <w:t xml:space="preserve">coerentemente con le competenze previste dal nuovo </w:t>
      </w:r>
      <w:r>
        <w:rPr>
          <w:rFonts w:ascii="Garamond" w:eastAsia="Aptos" w:hAnsi="Garamond"/>
          <w:kern w:val="2"/>
          <w:sz w:val="26"/>
          <w:szCs w:val="26"/>
          <w14:ligatures w14:val="standardContextual"/>
        </w:rPr>
        <w:t>S</w:t>
      </w:r>
      <w:r w:rsidR="00FB1853" w:rsidRPr="008E2B66">
        <w:rPr>
          <w:rFonts w:ascii="Garamond" w:eastAsia="Aptos" w:hAnsi="Garamond"/>
          <w:kern w:val="2"/>
          <w:sz w:val="26"/>
          <w:szCs w:val="26"/>
          <w14:ligatures w14:val="standardContextual"/>
        </w:rPr>
        <w:t xml:space="preserve">tatuto - </w:t>
      </w:r>
      <w:r w:rsidR="00FB1853" w:rsidRPr="008E2B66">
        <w:rPr>
          <w:rFonts w:ascii="Garamond" w:hAnsi="Garamond"/>
          <w:sz w:val="26"/>
          <w:szCs w:val="26"/>
        </w:rPr>
        <w:t xml:space="preserve">le funzioni di coordinamento delle attività dei </w:t>
      </w:r>
      <w:r>
        <w:rPr>
          <w:rFonts w:ascii="Garamond" w:hAnsi="Garamond"/>
          <w:sz w:val="26"/>
          <w:szCs w:val="26"/>
        </w:rPr>
        <w:t xml:space="preserve">seguenti </w:t>
      </w:r>
      <w:r w:rsidR="00FB1853" w:rsidRPr="008E2B66">
        <w:rPr>
          <w:rFonts w:ascii="Garamond" w:hAnsi="Garamond"/>
          <w:sz w:val="26"/>
          <w:szCs w:val="26"/>
        </w:rPr>
        <w:t>Uffici</w:t>
      </w:r>
      <w:r w:rsidR="006257A6">
        <w:rPr>
          <w:rFonts w:ascii="Garamond" w:hAnsi="Garamond"/>
          <w:sz w:val="26"/>
          <w:szCs w:val="26"/>
        </w:rPr>
        <w:t>,</w:t>
      </w:r>
      <w:r w:rsidR="00FB1853" w:rsidRPr="008E2B66">
        <w:rPr>
          <w:rFonts w:ascii="Garamond" w:hAnsi="Garamond"/>
          <w:sz w:val="26"/>
          <w:szCs w:val="26"/>
        </w:rPr>
        <w:t xml:space="preserve"> ivi compresa la gestione, il monitoraggio e la dei capitoli di spesa a questi ultimi assegnati: </w:t>
      </w:r>
    </w:p>
    <w:p w14:paraId="549149B1" w14:textId="10FD4EB3" w:rsidR="00FB1853" w:rsidRPr="008E2B66" w:rsidRDefault="00FB1853" w:rsidP="00B8265F">
      <w:pPr>
        <w:numPr>
          <w:ilvl w:val="0"/>
          <w:numId w:val="20"/>
        </w:numPr>
        <w:autoSpaceDE w:val="0"/>
        <w:autoSpaceDN w:val="0"/>
        <w:adjustRightInd w:val="0"/>
        <w:spacing w:after="10" w:line="276" w:lineRule="auto"/>
        <w:rPr>
          <w:rFonts w:ascii="Garamond" w:eastAsiaTheme="minorHAnsi" w:hAnsi="Garamond" w:cs="Arial"/>
          <w:color w:val="000000"/>
          <w:sz w:val="26"/>
          <w:szCs w:val="26"/>
        </w:rPr>
      </w:pPr>
      <w:r w:rsidRPr="008E2B66">
        <w:rPr>
          <w:rFonts w:ascii="Garamond" w:eastAsiaTheme="minorHAnsi" w:hAnsi="Garamond" w:cs="Arial"/>
          <w:color w:val="000000"/>
          <w:sz w:val="26"/>
          <w:szCs w:val="26"/>
        </w:rPr>
        <w:t>Ufficio Progetti</w:t>
      </w:r>
      <w:r w:rsidR="00BC31B4">
        <w:rPr>
          <w:rFonts w:ascii="Garamond" w:eastAsiaTheme="minorHAnsi" w:hAnsi="Garamond" w:cs="Arial"/>
          <w:color w:val="000000"/>
          <w:sz w:val="26"/>
          <w:szCs w:val="26"/>
        </w:rPr>
        <w:t>;</w:t>
      </w:r>
    </w:p>
    <w:p w14:paraId="64C4EA28" w14:textId="65110D6B" w:rsidR="00FB1853" w:rsidRPr="008E2B66" w:rsidRDefault="00FB1853" w:rsidP="00B8265F">
      <w:pPr>
        <w:numPr>
          <w:ilvl w:val="0"/>
          <w:numId w:val="20"/>
        </w:numPr>
        <w:autoSpaceDE w:val="0"/>
        <w:autoSpaceDN w:val="0"/>
        <w:adjustRightInd w:val="0"/>
        <w:spacing w:after="10" w:line="276" w:lineRule="auto"/>
        <w:rPr>
          <w:rFonts w:ascii="Garamond" w:eastAsiaTheme="minorHAnsi" w:hAnsi="Garamond" w:cs="Arial"/>
          <w:color w:val="000000"/>
          <w:sz w:val="26"/>
          <w:szCs w:val="26"/>
        </w:rPr>
      </w:pPr>
      <w:r w:rsidRPr="008E2B66">
        <w:rPr>
          <w:rFonts w:ascii="Garamond" w:eastAsiaTheme="minorHAnsi" w:hAnsi="Garamond" w:cs="Arial"/>
          <w:color w:val="000000"/>
          <w:sz w:val="26"/>
          <w:szCs w:val="26"/>
        </w:rPr>
        <w:t>Ufficio Affari istituzionali e relazioni internazionali</w:t>
      </w:r>
      <w:r w:rsidR="00BC31B4">
        <w:rPr>
          <w:rFonts w:ascii="Garamond" w:eastAsiaTheme="minorHAnsi" w:hAnsi="Garamond" w:cs="Arial"/>
          <w:color w:val="000000"/>
          <w:sz w:val="26"/>
          <w:szCs w:val="26"/>
        </w:rPr>
        <w:t>;</w:t>
      </w:r>
    </w:p>
    <w:p w14:paraId="7157FF15" w14:textId="5A3CA1C7" w:rsidR="00FB1853" w:rsidRPr="008E2B66" w:rsidRDefault="00FB1853" w:rsidP="00B8265F">
      <w:pPr>
        <w:numPr>
          <w:ilvl w:val="0"/>
          <w:numId w:val="20"/>
        </w:numPr>
        <w:autoSpaceDE w:val="0"/>
        <w:autoSpaceDN w:val="0"/>
        <w:adjustRightInd w:val="0"/>
        <w:spacing w:after="10" w:line="276" w:lineRule="auto"/>
        <w:rPr>
          <w:rFonts w:ascii="Garamond" w:eastAsiaTheme="minorHAnsi" w:hAnsi="Garamond" w:cs="Arial"/>
          <w:color w:val="000000"/>
          <w:sz w:val="26"/>
          <w:szCs w:val="26"/>
        </w:rPr>
      </w:pPr>
      <w:r w:rsidRPr="008E2B66">
        <w:rPr>
          <w:rFonts w:ascii="Garamond" w:eastAsiaTheme="minorHAnsi" w:hAnsi="Garamond" w:cs="Arial"/>
          <w:color w:val="000000"/>
          <w:sz w:val="26"/>
          <w:szCs w:val="26"/>
        </w:rPr>
        <w:t>Ufficio Trasferimento tecnologico</w:t>
      </w:r>
      <w:r w:rsidR="00BC31B4">
        <w:rPr>
          <w:rFonts w:ascii="Garamond" w:eastAsiaTheme="minorHAnsi" w:hAnsi="Garamond" w:cs="Arial"/>
          <w:color w:val="000000"/>
          <w:sz w:val="26"/>
          <w:szCs w:val="26"/>
        </w:rPr>
        <w:t>;</w:t>
      </w:r>
      <w:r w:rsidRPr="008E2B66">
        <w:rPr>
          <w:rFonts w:ascii="Garamond" w:eastAsiaTheme="minorHAnsi" w:hAnsi="Garamond" w:cs="Arial"/>
          <w:color w:val="000000"/>
          <w:sz w:val="26"/>
          <w:szCs w:val="26"/>
        </w:rPr>
        <w:t xml:space="preserve"> </w:t>
      </w:r>
    </w:p>
    <w:p w14:paraId="57E1C0D0" w14:textId="63173C50" w:rsidR="00FB1853" w:rsidRPr="008E2B66" w:rsidRDefault="00FB1853" w:rsidP="00B8265F">
      <w:pPr>
        <w:numPr>
          <w:ilvl w:val="0"/>
          <w:numId w:val="20"/>
        </w:numPr>
        <w:autoSpaceDE w:val="0"/>
        <w:autoSpaceDN w:val="0"/>
        <w:adjustRightInd w:val="0"/>
        <w:spacing w:after="80" w:line="276" w:lineRule="auto"/>
        <w:rPr>
          <w:rFonts w:ascii="Garamond" w:eastAsiaTheme="minorHAnsi" w:hAnsi="Garamond" w:cs="Arial"/>
          <w:color w:val="000000"/>
          <w:sz w:val="26"/>
          <w:szCs w:val="26"/>
        </w:rPr>
      </w:pPr>
      <w:r w:rsidRPr="008E2B66">
        <w:rPr>
          <w:rFonts w:ascii="Garamond" w:eastAsiaTheme="minorHAnsi" w:hAnsi="Garamond" w:cs="Arial"/>
          <w:color w:val="000000"/>
          <w:sz w:val="26"/>
          <w:szCs w:val="26"/>
        </w:rPr>
        <w:t>Ufficio Supporto alle attività aziendali agricole</w:t>
      </w:r>
      <w:r w:rsidR="00BC31B4">
        <w:rPr>
          <w:rFonts w:ascii="Garamond" w:eastAsiaTheme="minorHAnsi" w:hAnsi="Garamond" w:cs="Arial"/>
          <w:color w:val="000000"/>
          <w:sz w:val="26"/>
          <w:szCs w:val="26"/>
        </w:rPr>
        <w:t>.</w:t>
      </w:r>
      <w:r w:rsidRPr="008E2B66">
        <w:rPr>
          <w:rFonts w:ascii="Garamond" w:eastAsiaTheme="minorHAnsi" w:hAnsi="Garamond" w:cs="Arial"/>
          <w:color w:val="000000"/>
          <w:sz w:val="26"/>
          <w:szCs w:val="26"/>
        </w:rPr>
        <w:t xml:space="preserve"> </w:t>
      </w:r>
    </w:p>
    <w:p w14:paraId="0AAED2E4" w14:textId="74FA95B2" w:rsidR="00FB1853" w:rsidRPr="008E2B66" w:rsidRDefault="00FB1853" w:rsidP="00FB1853">
      <w:pPr>
        <w:pStyle w:val="Default"/>
        <w:spacing w:line="276" w:lineRule="auto"/>
        <w:jc w:val="both"/>
        <w:rPr>
          <w:rFonts w:ascii="Garamond" w:eastAsia="Aptos" w:hAnsi="Garamond"/>
          <w:kern w:val="2"/>
          <w:sz w:val="26"/>
          <w:szCs w:val="26"/>
          <w14:ligatures w14:val="standardContextual"/>
        </w:rPr>
      </w:pPr>
      <w:r w:rsidRPr="008E2B66">
        <w:rPr>
          <w:rFonts w:ascii="Garamond" w:eastAsia="Aptos" w:hAnsi="Garamond"/>
          <w:kern w:val="2"/>
          <w:sz w:val="26"/>
          <w:szCs w:val="26"/>
          <w14:ligatures w14:val="standardContextual"/>
        </w:rPr>
        <w:t>Successivamente alla pubblicazione sul sito istituzionale di appositi avvisi pubblici, ai sensi dell’articolo 19 comma 1</w:t>
      </w:r>
      <w:r w:rsidRPr="00F67792">
        <w:rPr>
          <w:rFonts w:ascii="Garamond" w:eastAsia="Aptos" w:hAnsi="Garamond"/>
          <w:i/>
          <w:iCs/>
          <w:kern w:val="2"/>
          <w:sz w:val="26"/>
          <w:szCs w:val="26"/>
          <w14:ligatures w14:val="standardContextual"/>
        </w:rPr>
        <w:t>bis</w:t>
      </w:r>
      <w:r w:rsidRPr="008E2B66">
        <w:rPr>
          <w:rFonts w:ascii="Garamond" w:eastAsia="Aptos" w:hAnsi="Garamond"/>
          <w:kern w:val="2"/>
          <w:sz w:val="26"/>
          <w:szCs w:val="26"/>
          <w14:ligatures w14:val="standardContextual"/>
        </w:rPr>
        <w:t xml:space="preserve"> sono stati assegnati</w:t>
      </w:r>
      <w:r w:rsidR="00F67792">
        <w:rPr>
          <w:rFonts w:ascii="Garamond" w:eastAsia="Aptos" w:hAnsi="Garamond"/>
          <w:kern w:val="2"/>
          <w:sz w:val="26"/>
          <w:szCs w:val="26"/>
          <w14:ligatures w14:val="standardContextual"/>
        </w:rPr>
        <w:t xml:space="preserve"> i seguenti incarichi</w:t>
      </w:r>
      <w:r w:rsidRPr="008E2B66">
        <w:rPr>
          <w:rFonts w:ascii="Garamond" w:eastAsia="Aptos" w:hAnsi="Garamond"/>
          <w:kern w:val="2"/>
          <w:sz w:val="26"/>
          <w:szCs w:val="26"/>
          <w14:ligatures w14:val="standardContextual"/>
        </w:rPr>
        <w:t>:</w:t>
      </w:r>
    </w:p>
    <w:p w14:paraId="6FDD3ACF" w14:textId="17F68A1B" w:rsidR="00FB1853" w:rsidRPr="008E2B66" w:rsidRDefault="00FB1853" w:rsidP="00B8265F">
      <w:pPr>
        <w:pStyle w:val="Default"/>
        <w:numPr>
          <w:ilvl w:val="0"/>
          <w:numId w:val="21"/>
        </w:numPr>
        <w:spacing w:line="276" w:lineRule="auto"/>
        <w:jc w:val="both"/>
        <w:rPr>
          <w:rFonts w:ascii="Garamond" w:hAnsi="Garamond"/>
          <w:sz w:val="26"/>
          <w:szCs w:val="26"/>
        </w:rPr>
      </w:pPr>
      <w:r w:rsidRPr="008E2B66">
        <w:rPr>
          <w:rFonts w:ascii="Garamond" w:hAnsi="Garamond"/>
          <w:sz w:val="26"/>
          <w:szCs w:val="26"/>
        </w:rPr>
        <w:t xml:space="preserve">Dirigente </w:t>
      </w:r>
      <w:r w:rsidR="005F3261">
        <w:rPr>
          <w:rFonts w:ascii="Garamond" w:hAnsi="Garamond"/>
          <w:sz w:val="26"/>
          <w:szCs w:val="26"/>
        </w:rPr>
        <w:t>G</w:t>
      </w:r>
      <w:r w:rsidRPr="008E2B66">
        <w:rPr>
          <w:rFonts w:ascii="Garamond" w:hAnsi="Garamond"/>
          <w:sz w:val="26"/>
          <w:szCs w:val="26"/>
        </w:rPr>
        <w:t xml:space="preserve">enerale della </w:t>
      </w:r>
      <w:r w:rsidRPr="006E79D0">
        <w:rPr>
          <w:rFonts w:ascii="Garamond" w:hAnsi="Garamond"/>
          <w:i/>
          <w:iCs/>
          <w:sz w:val="26"/>
          <w:szCs w:val="26"/>
        </w:rPr>
        <w:t>Direzione dei servizi amministrativi</w:t>
      </w:r>
      <w:r w:rsidRPr="008E2B66">
        <w:rPr>
          <w:rFonts w:ascii="Garamond" w:hAnsi="Garamond"/>
          <w:sz w:val="26"/>
          <w:szCs w:val="26"/>
        </w:rPr>
        <w:t xml:space="preserve"> e Dirigente Generale con incarico di </w:t>
      </w:r>
      <w:r w:rsidRPr="006E79D0">
        <w:rPr>
          <w:rFonts w:ascii="Garamond" w:hAnsi="Garamond"/>
          <w:i/>
          <w:iCs/>
          <w:sz w:val="26"/>
          <w:szCs w:val="26"/>
        </w:rPr>
        <w:t>alta consulenza, studio e ricerca</w:t>
      </w:r>
      <w:r w:rsidR="00F67792">
        <w:rPr>
          <w:rFonts w:ascii="Garamond" w:hAnsi="Garamond"/>
          <w:i/>
          <w:iCs/>
          <w:sz w:val="26"/>
          <w:szCs w:val="26"/>
        </w:rPr>
        <w:t xml:space="preserve">, </w:t>
      </w:r>
      <w:r w:rsidR="00F67792" w:rsidRPr="005F3261">
        <w:rPr>
          <w:rFonts w:ascii="Garamond" w:hAnsi="Garamond"/>
          <w:sz w:val="26"/>
          <w:szCs w:val="26"/>
        </w:rPr>
        <w:t>entrambi con decorrenza 30 giugno 2025</w:t>
      </w:r>
      <w:r w:rsidR="00F67792">
        <w:rPr>
          <w:rFonts w:ascii="Garamond" w:hAnsi="Garamond"/>
          <w:i/>
          <w:iCs/>
          <w:sz w:val="26"/>
          <w:szCs w:val="26"/>
        </w:rPr>
        <w:t>;</w:t>
      </w:r>
    </w:p>
    <w:p w14:paraId="148395F0" w14:textId="2094C81B" w:rsidR="00BB750D" w:rsidRPr="00BB750D" w:rsidRDefault="00FB1853" w:rsidP="00EB791E">
      <w:pPr>
        <w:pStyle w:val="Default"/>
        <w:numPr>
          <w:ilvl w:val="0"/>
          <w:numId w:val="21"/>
        </w:numPr>
        <w:spacing w:after="80" w:line="276" w:lineRule="auto"/>
        <w:jc w:val="both"/>
        <w:rPr>
          <w:rFonts w:ascii="Garamond" w:eastAsia="Aptos" w:hAnsi="Garamond"/>
          <w:kern w:val="2"/>
          <w:sz w:val="26"/>
          <w:szCs w:val="26"/>
          <w14:ligatures w14:val="standardContextual"/>
        </w:rPr>
      </w:pPr>
      <w:r w:rsidRPr="00BB750D">
        <w:rPr>
          <w:rFonts w:ascii="Garamond" w:eastAsia="Aptos" w:hAnsi="Garamond"/>
          <w:kern w:val="2"/>
          <w:sz w:val="26"/>
          <w:szCs w:val="26"/>
          <w14:ligatures w14:val="standardContextual"/>
        </w:rPr>
        <w:t xml:space="preserve">nuovi incarichi dirigenziali di livello non generale </w:t>
      </w:r>
      <w:r w:rsidR="00BB750D" w:rsidRPr="00BB750D">
        <w:rPr>
          <w:rFonts w:ascii="Garamond" w:hAnsi="Garamond"/>
          <w:sz w:val="26"/>
          <w:szCs w:val="26"/>
        </w:rPr>
        <w:t xml:space="preserve">con decorrenza </w:t>
      </w:r>
      <w:r w:rsidR="00BB750D" w:rsidRPr="00BB750D">
        <w:rPr>
          <w:rFonts w:ascii="Garamond" w:eastAsia="Aptos" w:hAnsi="Garamond"/>
          <w:kern w:val="2"/>
          <w:sz w:val="26"/>
          <w:szCs w:val="26"/>
          <w14:ligatures w14:val="standardContextual"/>
        </w:rPr>
        <w:t>1° luglio 2025.</w:t>
      </w:r>
    </w:p>
    <w:p w14:paraId="5BEA3714" w14:textId="5C6DCF81" w:rsidR="00FB1853" w:rsidRPr="00D002CD" w:rsidRDefault="006E79D0" w:rsidP="00FB1853">
      <w:pPr>
        <w:pStyle w:val="Default"/>
        <w:spacing w:after="80" w:line="276" w:lineRule="auto"/>
        <w:jc w:val="both"/>
        <w:rPr>
          <w:rFonts w:ascii="Garamond" w:eastAsia="Aptos" w:hAnsi="Garamond"/>
          <w:kern w:val="2"/>
          <w:sz w:val="26"/>
          <w:szCs w:val="26"/>
          <w14:ligatures w14:val="standardContextual"/>
        </w:rPr>
      </w:pPr>
      <w:r w:rsidRPr="00BB750D">
        <w:rPr>
          <w:rFonts w:ascii="Garamond" w:eastAsia="Aptos" w:hAnsi="Garamond"/>
          <w:kern w:val="2"/>
          <w:sz w:val="26"/>
          <w:szCs w:val="26"/>
          <w14:ligatures w14:val="standardContextual"/>
        </w:rPr>
        <w:t>Con delibera del Consiglio d’</w:t>
      </w:r>
      <w:r w:rsidR="00F67792" w:rsidRPr="00BB750D">
        <w:rPr>
          <w:rFonts w:ascii="Garamond" w:eastAsia="Aptos" w:hAnsi="Garamond"/>
          <w:kern w:val="2"/>
          <w:sz w:val="26"/>
          <w:szCs w:val="26"/>
          <w14:ligatures w14:val="standardContextual"/>
        </w:rPr>
        <w:t>a</w:t>
      </w:r>
      <w:r w:rsidRPr="00BB750D">
        <w:rPr>
          <w:rFonts w:ascii="Garamond" w:eastAsia="Aptos" w:hAnsi="Garamond"/>
          <w:kern w:val="2"/>
          <w:sz w:val="26"/>
          <w:szCs w:val="26"/>
          <w14:ligatures w14:val="standardContextual"/>
        </w:rPr>
        <w:t>mministrazione n. 53</w:t>
      </w:r>
      <w:r w:rsidR="00D002CD">
        <w:rPr>
          <w:rFonts w:ascii="Garamond" w:eastAsia="Aptos" w:hAnsi="Garamond"/>
          <w:kern w:val="2"/>
          <w:sz w:val="26"/>
          <w:szCs w:val="26"/>
          <w14:ligatures w14:val="standardContextual"/>
        </w:rPr>
        <w:t xml:space="preserve"> </w:t>
      </w:r>
      <w:r w:rsidRPr="00BB750D">
        <w:rPr>
          <w:rFonts w:ascii="Garamond" w:eastAsia="Aptos" w:hAnsi="Garamond"/>
          <w:kern w:val="2"/>
          <w:sz w:val="26"/>
          <w:szCs w:val="26"/>
          <w14:ligatures w14:val="standardContextual"/>
        </w:rPr>
        <w:t xml:space="preserve">del 27 maggio 2025, </w:t>
      </w:r>
      <w:r w:rsidR="008E18D8" w:rsidRPr="00BB750D">
        <w:rPr>
          <w:rFonts w:ascii="Garamond" w:eastAsia="Aptos" w:hAnsi="Garamond"/>
          <w:kern w:val="2"/>
          <w:sz w:val="26"/>
          <w:szCs w:val="26"/>
          <w14:ligatures w14:val="standardContextual"/>
        </w:rPr>
        <w:t>è stato nominato l</w:t>
      </w:r>
      <w:r w:rsidR="00FB1853" w:rsidRPr="00BB750D">
        <w:rPr>
          <w:rFonts w:ascii="Garamond" w:eastAsia="Aptos" w:hAnsi="Garamond"/>
          <w:kern w:val="2"/>
          <w:sz w:val="26"/>
          <w:szCs w:val="26"/>
          <w14:ligatures w14:val="standardContextual"/>
        </w:rPr>
        <w:t>’</w:t>
      </w:r>
      <w:r w:rsidR="00FB1853" w:rsidRPr="00BB750D">
        <w:rPr>
          <w:rFonts w:ascii="Garamond" w:eastAsia="Aptos" w:hAnsi="Garamond"/>
          <w:i/>
          <w:iCs/>
          <w:kern w:val="2"/>
          <w:sz w:val="26"/>
          <w:szCs w:val="26"/>
          <w14:ligatures w14:val="standardContextual"/>
        </w:rPr>
        <w:t>Organismo indipendente di valutazione (OIV),</w:t>
      </w:r>
      <w:r w:rsidR="00FB1853" w:rsidRPr="00BB750D">
        <w:rPr>
          <w:rFonts w:ascii="Garamond" w:eastAsia="Aptos" w:hAnsi="Garamond"/>
          <w:kern w:val="2"/>
          <w:sz w:val="26"/>
          <w:szCs w:val="26"/>
          <w14:ligatures w14:val="standardContextual"/>
        </w:rPr>
        <w:t xml:space="preserve"> scaduto nel</w:t>
      </w:r>
      <w:r w:rsidRPr="00BB750D">
        <w:rPr>
          <w:rFonts w:ascii="Garamond" w:eastAsia="Aptos" w:hAnsi="Garamond"/>
          <w:kern w:val="2"/>
          <w:sz w:val="26"/>
          <w:szCs w:val="26"/>
          <w14:ligatures w14:val="standardContextual"/>
        </w:rPr>
        <w:t xml:space="preserve"> mese di </w:t>
      </w:r>
      <w:r w:rsidR="00FB1853" w:rsidRPr="00BB750D">
        <w:rPr>
          <w:rFonts w:ascii="Garamond" w:eastAsia="Aptos" w:hAnsi="Garamond"/>
          <w:kern w:val="2"/>
          <w:sz w:val="26"/>
          <w:szCs w:val="26"/>
          <w14:ligatures w14:val="standardContextual"/>
        </w:rPr>
        <w:t xml:space="preserve">ottobre del 2024, </w:t>
      </w:r>
      <w:r w:rsidR="008E18D8" w:rsidRPr="00BB750D">
        <w:rPr>
          <w:rFonts w:ascii="Garamond" w:eastAsia="Aptos" w:hAnsi="Garamond"/>
          <w:kern w:val="2"/>
          <w:sz w:val="26"/>
          <w:szCs w:val="26"/>
          <w14:ligatures w14:val="standardContextual"/>
        </w:rPr>
        <w:t>previa individuazione dei componenti da parte del</w:t>
      </w:r>
      <w:r w:rsidR="00FB1853" w:rsidRPr="00BB750D">
        <w:rPr>
          <w:rFonts w:ascii="Garamond" w:eastAsia="Aptos" w:hAnsi="Garamond"/>
          <w:kern w:val="2"/>
          <w:sz w:val="26"/>
          <w:szCs w:val="26"/>
          <w14:ligatures w14:val="standardContextual"/>
        </w:rPr>
        <w:t xml:space="preserve"> Presidente </w:t>
      </w:r>
      <w:r w:rsidR="008E18D8" w:rsidRPr="00BB750D">
        <w:rPr>
          <w:rFonts w:ascii="Garamond" w:eastAsia="Aptos" w:hAnsi="Garamond"/>
          <w:kern w:val="2"/>
          <w:sz w:val="26"/>
          <w:szCs w:val="26"/>
          <w14:ligatures w14:val="standardContextual"/>
        </w:rPr>
        <w:t>P</w:t>
      </w:r>
      <w:r w:rsidR="00FB1853" w:rsidRPr="00BB750D">
        <w:rPr>
          <w:rFonts w:ascii="Garamond" w:eastAsia="Aptos" w:hAnsi="Garamond"/>
          <w:kern w:val="2"/>
          <w:sz w:val="26"/>
          <w:szCs w:val="26"/>
          <w14:ligatures w14:val="standardContextual"/>
        </w:rPr>
        <w:t>rof</w:t>
      </w:r>
      <w:r w:rsidR="00F67792" w:rsidRPr="00BB750D">
        <w:rPr>
          <w:rFonts w:ascii="Garamond" w:eastAsia="Aptos" w:hAnsi="Garamond"/>
          <w:kern w:val="2"/>
          <w:sz w:val="26"/>
          <w:szCs w:val="26"/>
          <w14:ligatures w14:val="standardContextual"/>
        </w:rPr>
        <w:t>.</w:t>
      </w:r>
      <w:r w:rsidR="00FB1853" w:rsidRPr="00BB750D">
        <w:rPr>
          <w:rFonts w:ascii="Garamond" w:eastAsia="Aptos" w:hAnsi="Garamond"/>
          <w:kern w:val="2"/>
          <w:sz w:val="26"/>
          <w:szCs w:val="26"/>
          <w14:ligatures w14:val="standardContextual"/>
        </w:rPr>
        <w:t xml:space="preserve"> Rocchi</w:t>
      </w:r>
      <w:r w:rsidR="008E18D8" w:rsidRPr="00BB750D">
        <w:rPr>
          <w:rFonts w:ascii="Garamond" w:eastAsia="Aptos" w:hAnsi="Garamond"/>
          <w:kern w:val="2"/>
          <w:sz w:val="26"/>
          <w:szCs w:val="26"/>
          <w14:ligatures w14:val="standardContextual"/>
        </w:rPr>
        <w:t>,</w:t>
      </w:r>
      <w:r w:rsidR="00FB1853" w:rsidRPr="00BB750D">
        <w:rPr>
          <w:rFonts w:ascii="Garamond" w:eastAsia="Aptos" w:hAnsi="Garamond"/>
          <w:kern w:val="2"/>
          <w:sz w:val="26"/>
          <w:szCs w:val="26"/>
          <w14:ligatures w14:val="standardContextual"/>
        </w:rPr>
        <w:t xml:space="preserve"> in esito alla apposita procedura pubblica di valutazione comparativa indetta dall’Ente.</w:t>
      </w:r>
      <w:r w:rsidR="00D002CD">
        <w:rPr>
          <w:rFonts w:ascii="Garamond" w:eastAsia="Aptos" w:hAnsi="Garamond"/>
          <w:kern w:val="2"/>
          <w:sz w:val="26"/>
          <w:szCs w:val="26"/>
          <w14:ligatures w14:val="standardContextual"/>
        </w:rPr>
        <w:t xml:space="preserve"> </w:t>
      </w:r>
      <w:r w:rsidR="008E18D8">
        <w:rPr>
          <w:rFonts w:ascii="Garamond" w:eastAsia="Aptos" w:hAnsi="Garamond"/>
          <w:kern w:val="2"/>
          <w:sz w:val="26"/>
          <w:szCs w:val="26"/>
          <w14:ligatures w14:val="standardContextual"/>
        </w:rPr>
        <w:t>C</w:t>
      </w:r>
      <w:r w:rsidR="00FB1853" w:rsidRPr="008E2B66">
        <w:rPr>
          <w:rFonts w:ascii="Garamond" w:eastAsia="Aptos" w:hAnsi="Garamond"/>
          <w:kern w:val="2"/>
          <w:sz w:val="26"/>
          <w:szCs w:val="26"/>
          <w14:ligatures w14:val="standardContextual"/>
        </w:rPr>
        <w:t xml:space="preserve">on </w:t>
      </w:r>
      <w:r w:rsidR="008E18D8" w:rsidRPr="00AA2F88">
        <w:rPr>
          <w:rFonts w:ascii="Garamond" w:eastAsia="Aptos" w:hAnsi="Garamond"/>
          <w:kern w:val="2"/>
          <w:sz w:val="26"/>
          <w:szCs w:val="26"/>
          <w14:ligatures w14:val="standardContextual"/>
        </w:rPr>
        <w:t>provvedimento n</w:t>
      </w:r>
      <w:r w:rsidR="007B5DB8" w:rsidRPr="00AA2F88">
        <w:rPr>
          <w:rFonts w:ascii="Garamond" w:eastAsia="Aptos" w:hAnsi="Garamond"/>
          <w:kern w:val="2"/>
          <w:sz w:val="26"/>
          <w:szCs w:val="26"/>
          <w14:ligatures w14:val="standardContextual"/>
        </w:rPr>
        <w:t>. 81</w:t>
      </w:r>
      <w:r w:rsidR="006257A6">
        <w:rPr>
          <w:rFonts w:ascii="Garamond" w:eastAsia="Aptos" w:hAnsi="Garamond"/>
          <w:kern w:val="2"/>
          <w:sz w:val="26"/>
          <w:szCs w:val="26"/>
          <w14:ligatures w14:val="standardContextual"/>
        </w:rPr>
        <w:t xml:space="preserve"> </w:t>
      </w:r>
      <w:r w:rsidR="008E18D8" w:rsidRPr="00AA2F88">
        <w:rPr>
          <w:rFonts w:ascii="Garamond" w:eastAsia="Aptos" w:hAnsi="Garamond"/>
          <w:kern w:val="2"/>
          <w:sz w:val="26"/>
          <w:szCs w:val="26"/>
          <w14:ligatures w14:val="standardContextual"/>
        </w:rPr>
        <w:t xml:space="preserve">del </w:t>
      </w:r>
      <w:r w:rsidR="007B5DB8" w:rsidRPr="00AA2F88">
        <w:rPr>
          <w:rFonts w:ascii="Garamond" w:eastAsia="Aptos" w:hAnsi="Garamond"/>
          <w:kern w:val="2"/>
          <w:sz w:val="26"/>
          <w:szCs w:val="26"/>
          <w14:ligatures w14:val="standardContextual"/>
        </w:rPr>
        <w:t>29 luglio 2025</w:t>
      </w:r>
      <w:r w:rsidR="006257A6">
        <w:rPr>
          <w:rFonts w:ascii="Garamond" w:eastAsia="Aptos" w:hAnsi="Garamond"/>
          <w:kern w:val="2"/>
          <w:sz w:val="26"/>
          <w:szCs w:val="26"/>
          <w14:ligatures w14:val="standardContextual"/>
        </w:rPr>
        <w:t>,</w:t>
      </w:r>
      <w:r w:rsidR="007B5DB8" w:rsidRPr="00AA2F88">
        <w:rPr>
          <w:rFonts w:ascii="Garamond" w:eastAsia="Aptos" w:hAnsi="Garamond"/>
          <w:kern w:val="2"/>
          <w:sz w:val="26"/>
          <w:szCs w:val="26"/>
          <w14:ligatures w14:val="standardContextual"/>
        </w:rPr>
        <w:t xml:space="preserve"> </w:t>
      </w:r>
      <w:r w:rsidR="006257A6">
        <w:rPr>
          <w:rFonts w:ascii="Garamond" w:eastAsia="Aptos" w:hAnsi="Garamond"/>
          <w:kern w:val="2"/>
          <w:sz w:val="26"/>
          <w:szCs w:val="26"/>
          <w14:ligatures w14:val="standardContextual"/>
        </w:rPr>
        <w:t xml:space="preserve">con </w:t>
      </w:r>
      <w:r w:rsidR="00FB1853" w:rsidRPr="00AA2F88">
        <w:rPr>
          <w:rFonts w:ascii="Garamond" w:eastAsia="Aptos" w:hAnsi="Garamond"/>
          <w:kern w:val="2"/>
          <w:sz w:val="26"/>
          <w:szCs w:val="26"/>
          <w14:ligatures w14:val="standardContextual"/>
        </w:rPr>
        <w:t>decorrenza</w:t>
      </w:r>
      <w:r w:rsidR="008E18D8" w:rsidRPr="00AA2F88">
        <w:rPr>
          <w:rFonts w:ascii="Garamond" w:eastAsia="Aptos" w:hAnsi="Garamond"/>
          <w:kern w:val="2"/>
          <w:sz w:val="26"/>
          <w:szCs w:val="26"/>
          <w14:ligatures w14:val="standardContextual"/>
        </w:rPr>
        <w:t xml:space="preserve"> dal</w:t>
      </w:r>
      <w:r w:rsidR="00FB1853" w:rsidRPr="00AA2F88">
        <w:rPr>
          <w:rFonts w:ascii="Garamond" w:eastAsia="Aptos" w:hAnsi="Garamond"/>
          <w:kern w:val="2"/>
          <w:sz w:val="26"/>
          <w:szCs w:val="26"/>
          <w14:ligatures w14:val="standardContextual"/>
        </w:rPr>
        <w:t xml:space="preserve"> 1° agosto 2025 è stato conferito al</w:t>
      </w:r>
      <w:r w:rsidR="00FB1853" w:rsidRPr="008E2B66">
        <w:rPr>
          <w:rFonts w:ascii="Garamond" w:eastAsia="Aptos" w:hAnsi="Garamond"/>
          <w:kern w:val="2"/>
          <w:sz w:val="26"/>
          <w:szCs w:val="26"/>
          <w14:ligatures w14:val="standardContextual"/>
        </w:rPr>
        <w:t xml:space="preserve">la </w:t>
      </w:r>
      <w:r w:rsidR="008E18D8">
        <w:rPr>
          <w:rFonts w:ascii="Garamond" w:eastAsia="Aptos" w:hAnsi="Garamond"/>
          <w:kern w:val="2"/>
          <w:sz w:val="26"/>
          <w:szCs w:val="26"/>
          <w14:ligatures w14:val="standardContextual"/>
        </w:rPr>
        <w:t>D</w:t>
      </w:r>
      <w:r w:rsidR="00FB1853" w:rsidRPr="008E2B66">
        <w:rPr>
          <w:rFonts w:ascii="Garamond" w:eastAsia="Aptos" w:hAnsi="Garamond"/>
          <w:kern w:val="2"/>
          <w:sz w:val="26"/>
          <w:szCs w:val="26"/>
          <w14:ligatures w14:val="standardContextual"/>
        </w:rPr>
        <w:t xml:space="preserve">irigente dell’Ufficio </w:t>
      </w:r>
      <w:r w:rsidR="00FB1853" w:rsidRPr="008E18D8">
        <w:rPr>
          <w:rFonts w:ascii="Garamond" w:eastAsia="Aptos" w:hAnsi="Garamond"/>
          <w:i/>
          <w:iCs/>
          <w:kern w:val="2"/>
          <w:sz w:val="26"/>
          <w:szCs w:val="26"/>
          <w14:ligatures w14:val="standardContextual"/>
        </w:rPr>
        <w:t>Trasparenza e anticorruzione</w:t>
      </w:r>
      <w:r w:rsidR="00FB1853" w:rsidRPr="008E2B66">
        <w:rPr>
          <w:rFonts w:ascii="Garamond" w:eastAsia="Aptos" w:hAnsi="Garamond"/>
          <w:kern w:val="2"/>
          <w:sz w:val="26"/>
          <w:szCs w:val="26"/>
          <w14:ligatures w14:val="standardContextual"/>
        </w:rPr>
        <w:t xml:space="preserve"> l’incarico di </w:t>
      </w:r>
      <w:r w:rsidR="00FB1853" w:rsidRPr="008E18D8">
        <w:rPr>
          <w:rFonts w:ascii="Garamond" w:eastAsia="Aptos" w:hAnsi="Garamond"/>
          <w:i/>
          <w:iCs/>
          <w:kern w:val="2"/>
          <w:sz w:val="26"/>
          <w:szCs w:val="26"/>
          <w14:ligatures w14:val="standardContextual"/>
        </w:rPr>
        <w:t>Responsabile per la prevenzione della corruzione e della trasparenza.</w:t>
      </w:r>
    </w:p>
    <w:p w14:paraId="434FCE69" w14:textId="5E48E8D2" w:rsidR="00FB1853" w:rsidRPr="008E2B66" w:rsidRDefault="00FB1853" w:rsidP="00FB1853">
      <w:pPr>
        <w:spacing w:after="80" w:line="276" w:lineRule="auto"/>
        <w:jc w:val="both"/>
        <w:rPr>
          <w:rFonts w:ascii="Garamond" w:eastAsia="Aptos" w:hAnsi="Garamond" w:cs="Arial"/>
          <w:kern w:val="2"/>
          <w:sz w:val="26"/>
          <w:szCs w:val="26"/>
          <w14:ligatures w14:val="standardContextual"/>
        </w:rPr>
      </w:pPr>
      <w:r w:rsidRPr="008E2B66">
        <w:rPr>
          <w:rFonts w:ascii="Garamond" w:eastAsia="Aptos" w:hAnsi="Garamond" w:cs="Arial"/>
          <w:kern w:val="2"/>
          <w:sz w:val="26"/>
          <w:szCs w:val="26"/>
          <w14:ligatures w14:val="standardContextual"/>
        </w:rPr>
        <w:t xml:space="preserve">In tale contesto di novità, con la nomina nel corso del 2025 del nuovo OIV, del nuovo </w:t>
      </w:r>
      <w:r w:rsidR="008E18D8">
        <w:rPr>
          <w:rFonts w:ascii="Garamond" w:eastAsia="Aptos" w:hAnsi="Garamond" w:cs="Arial"/>
          <w:kern w:val="2"/>
          <w:sz w:val="26"/>
          <w:szCs w:val="26"/>
          <w14:ligatures w14:val="standardContextual"/>
        </w:rPr>
        <w:t>D</w:t>
      </w:r>
      <w:r w:rsidRPr="008E2B66">
        <w:rPr>
          <w:rFonts w:ascii="Garamond" w:eastAsia="Aptos" w:hAnsi="Garamond" w:cs="Arial"/>
          <w:kern w:val="2"/>
          <w:sz w:val="26"/>
          <w:szCs w:val="26"/>
          <w14:ligatures w14:val="standardContextual"/>
        </w:rPr>
        <w:t xml:space="preserve">irigente dell’Ufficio </w:t>
      </w:r>
      <w:r w:rsidRPr="008E18D8">
        <w:rPr>
          <w:rFonts w:ascii="Garamond" w:eastAsia="Aptos" w:hAnsi="Garamond" w:cs="Arial"/>
          <w:i/>
          <w:iCs/>
          <w:kern w:val="2"/>
          <w:sz w:val="26"/>
          <w:szCs w:val="26"/>
          <w14:ligatures w14:val="standardContextual"/>
        </w:rPr>
        <w:t>Trasparenza e anticorruzione</w:t>
      </w:r>
      <w:r w:rsidRPr="008E2B66">
        <w:rPr>
          <w:rFonts w:ascii="Garamond" w:eastAsia="Aptos" w:hAnsi="Garamond" w:cs="Arial"/>
          <w:kern w:val="2"/>
          <w:sz w:val="26"/>
          <w:szCs w:val="26"/>
          <w14:ligatures w14:val="standardContextual"/>
        </w:rPr>
        <w:t xml:space="preserve"> e nuovo RPCT, </w:t>
      </w:r>
      <w:r w:rsidR="008E18D8">
        <w:rPr>
          <w:rFonts w:ascii="Garamond" w:eastAsia="Aptos" w:hAnsi="Garamond" w:cs="Arial"/>
          <w:kern w:val="2"/>
          <w:sz w:val="26"/>
          <w:szCs w:val="26"/>
          <w14:ligatures w14:val="standardContextual"/>
        </w:rPr>
        <w:t xml:space="preserve">ai fini della </w:t>
      </w:r>
      <w:r w:rsidRPr="008E2B66">
        <w:rPr>
          <w:rFonts w:ascii="Garamond" w:eastAsia="Aptos" w:hAnsi="Garamond" w:cs="Arial"/>
          <w:kern w:val="2"/>
          <w:sz w:val="26"/>
          <w:szCs w:val="26"/>
          <w14:ligatures w14:val="standardContextual"/>
        </w:rPr>
        <w:t xml:space="preserve">predisposizione della sottosezione </w:t>
      </w:r>
      <w:r w:rsidR="008E18D8">
        <w:rPr>
          <w:rFonts w:ascii="Garamond" w:eastAsia="Aptos" w:hAnsi="Garamond" w:cs="Arial"/>
          <w:kern w:val="2"/>
          <w:sz w:val="26"/>
          <w:szCs w:val="26"/>
          <w14:ligatures w14:val="standardContextual"/>
        </w:rPr>
        <w:t xml:space="preserve">del PIAO - </w:t>
      </w:r>
      <w:r w:rsidR="008E18D8" w:rsidRPr="008E18D8">
        <w:rPr>
          <w:rFonts w:ascii="Garamond" w:eastAsia="Aptos" w:hAnsi="Garamond" w:cs="Arial"/>
          <w:b/>
          <w:bCs/>
          <w:i/>
          <w:iCs/>
          <w:kern w:val="2"/>
          <w:sz w:val="26"/>
          <w:szCs w:val="26"/>
          <w14:ligatures w14:val="standardContextual"/>
        </w:rPr>
        <w:t>Rischi corruttivi e trasparenza</w:t>
      </w:r>
      <w:r w:rsidR="008E18D8">
        <w:rPr>
          <w:rFonts w:ascii="Garamond" w:eastAsia="Aptos" w:hAnsi="Garamond" w:cs="Arial"/>
          <w:kern w:val="2"/>
          <w:sz w:val="26"/>
          <w:szCs w:val="26"/>
          <w14:ligatures w14:val="standardContextual"/>
        </w:rPr>
        <w:t xml:space="preserve"> - </w:t>
      </w:r>
      <w:r w:rsidRPr="008E2B66">
        <w:rPr>
          <w:rFonts w:ascii="Garamond" w:eastAsia="Aptos" w:hAnsi="Garamond" w:cs="Arial"/>
          <w:kern w:val="2"/>
          <w:sz w:val="26"/>
          <w:szCs w:val="26"/>
          <w14:ligatures w14:val="standardContextual"/>
        </w:rPr>
        <w:t xml:space="preserve">l’attenzione </w:t>
      </w:r>
      <w:r w:rsidR="008E18D8">
        <w:rPr>
          <w:rFonts w:ascii="Garamond" w:eastAsia="Aptos" w:hAnsi="Garamond" w:cs="Arial"/>
          <w:kern w:val="2"/>
          <w:sz w:val="26"/>
          <w:szCs w:val="26"/>
          <w14:ligatures w14:val="standardContextual"/>
        </w:rPr>
        <w:t xml:space="preserve">è stata focalizzata </w:t>
      </w:r>
      <w:r w:rsidRPr="008E2B66">
        <w:rPr>
          <w:rFonts w:ascii="Garamond" w:eastAsia="Aptos" w:hAnsi="Garamond" w:cs="Arial"/>
          <w:kern w:val="2"/>
          <w:sz w:val="26"/>
          <w:szCs w:val="26"/>
          <w14:ligatures w14:val="standardContextual"/>
        </w:rPr>
        <w:t>su temi di grande impatto nell’ambito delle strategie dell’anticorruzione e della trasparenza</w:t>
      </w:r>
      <w:r w:rsidR="006257A6" w:rsidRPr="006257A6">
        <w:rPr>
          <w:rFonts w:ascii="Garamond" w:eastAsia="Aptos" w:hAnsi="Garamond" w:cs="Arial"/>
          <w:kern w:val="2"/>
          <w:sz w:val="26"/>
          <w:szCs w:val="26"/>
          <w14:ligatures w14:val="standardContextual"/>
        </w:rPr>
        <w:t xml:space="preserve"> </w:t>
      </w:r>
      <w:r w:rsidRPr="008E2B66">
        <w:rPr>
          <w:rFonts w:ascii="Garamond" w:eastAsia="Aptos" w:hAnsi="Garamond" w:cs="Arial"/>
          <w:kern w:val="2"/>
          <w:sz w:val="26"/>
          <w:szCs w:val="26"/>
          <w14:ligatures w14:val="standardContextual"/>
        </w:rPr>
        <w:t xml:space="preserve">tra </w:t>
      </w:r>
      <w:r w:rsidR="006257A6">
        <w:rPr>
          <w:rFonts w:ascii="Garamond" w:eastAsia="Aptos" w:hAnsi="Garamond" w:cs="Arial"/>
          <w:kern w:val="2"/>
          <w:sz w:val="26"/>
          <w:szCs w:val="26"/>
          <w14:ligatures w14:val="standardContextual"/>
        </w:rPr>
        <w:t xml:space="preserve">cui: </w:t>
      </w:r>
      <w:r w:rsidRPr="008E2B66">
        <w:rPr>
          <w:rFonts w:ascii="Garamond" w:eastAsia="Aptos" w:hAnsi="Garamond" w:cs="Arial"/>
          <w:kern w:val="2"/>
          <w:sz w:val="26"/>
          <w:szCs w:val="26"/>
          <w14:ligatures w14:val="standardContextual"/>
        </w:rPr>
        <w:t>la gestione dei possibili conflitti di interesse, l’aggiornamento continuo</w:t>
      </w:r>
      <w:r w:rsidR="008E18D8">
        <w:rPr>
          <w:rFonts w:ascii="Garamond" w:eastAsia="Aptos" w:hAnsi="Garamond" w:cs="Arial"/>
          <w:kern w:val="2"/>
          <w:sz w:val="26"/>
          <w:szCs w:val="26"/>
          <w14:ligatures w14:val="standardContextual"/>
        </w:rPr>
        <w:t xml:space="preserve"> - </w:t>
      </w:r>
      <w:r w:rsidRPr="008E2B66">
        <w:rPr>
          <w:rFonts w:ascii="Garamond" w:eastAsia="Aptos" w:hAnsi="Garamond" w:cs="Arial"/>
          <w:kern w:val="2"/>
          <w:sz w:val="26"/>
          <w:szCs w:val="26"/>
          <w14:ligatures w14:val="standardContextual"/>
        </w:rPr>
        <w:t xml:space="preserve">da parte degli operatori </w:t>
      </w:r>
      <w:r w:rsidRPr="00DA6E6E">
        <w:rPr>
          <w:rFonts w:ascii="Garamond" w:eastAsia="Aptos" w:hAnsi="Garamond" w:cs="Arial"/>
          <w:kern w:val="2"/>
          <w:sz w:val="26"/>
          <w:szCs w:val="26"/>
          <w14:ligatures w14:val="standardContextual"/>
        </w:rPr>
        <w:t>CREA</w:t>
      </w:r>
      <w:r w:rsidRPr="008E2B66">
        <w:rPr>
          <w:rFonts w:ascii="Garamond" w:eastAsia="Aptos" w:hAnsi="Garamond" w:cs="Arial"/>
          <w:kern w:val="2"/>
          <w:sz w:val="26"/>
          <w:szCs w:val="26"/>
          <w14:ligatures w14:val="standardContextual"/>
        </w:rPr>
        <w:t xml:space="preserve"> e dei R</w:t>
      </w:r>
      <w:r w:rsidR="008E18D8">
        <w:rPr>
          <w:rFonts w:ascii="Garamond" w:eastAsia="Aptos" w:hAnsi="Garamond" w:cs="Arial"/>
          <w:kern w:val="2"/>
          <w:sz w:val="26"/>
          <w:szCs w:val="26"/>
          <w14:ligatures w14:val="standardContextual"/>
        </w:rPr>
        <w:t xml:space="preserve">UP - </w:t>
      </w:r>
      <w:r w:rsidRPr="008E2B66">
        <w:rPr>
          <w:rFonts w:ascii="Garamond" w:eastAsia="Aptos" w:hAnsi="Garamond" w:cs="Arial"/>
          <w:kern w:val="2"/>
          <w:sz w:val="26"/>
          <w:szCs w:val="26"/>
          <w14:ligatures w14:val="standardContextual"/>
        </w:rPr>
        <w:t xml:space="preserve">della documentazione da inserire nelle piattaforme digitali e nella sezione </w:t>
      </w:r>
      <w:r w:rsidRPr="008E18D8">
        <w:rPr>
          <w:rFonts w:ascii="Garamond" w:eastAsia="Aptos" w:hAnsi="Garamond" w:cs="Arial"/>
          <w:i/>
          <w:iCs/>
          <w:kern w:val="2"/>
          <w:sz w:val="26"/>
          <w:szCs w:val="26"/>
          <w14:ligatures w14:val="standardContextual"/>
        </w:rPr>
        <w:t>Bandi di gara e contratti</w:t>
      </w:r>
      <w:r w:rsidRPr="008E2B66">
        <w:rPr>
          <w:rFonts w:ascii="Garamond" w:eastAsia="Aptos" w:hAnsi="Garamond" w:cs="Arial"/>
          <w:kern w:val="2"/>
          <w:sz w:val="26"/>
          <w:szCs w:val="26"/>
          <w14:ligatures w14:val="standardContextual"/>
        </w:rPr>
        <w:t xml:space="preserve"> </w:t>
      </w:r>
      <w:r w:rsidR="008E18D8">
        <w:rPr>
          <w:rFonts w:ascii="Garamond" w:eastAsia="Aptos" w:hAnsi="Garamond" w:cs="Arial"/>
          <w:kern w:val="2"/>
          <w:sz w:val="26"/>
          <w:szCs w:val="26"/>
          <w14:ligatures w14:val="standardContextual"/>
        </w:rPr>
        <w:t xml:space="preserve">in </w:t>
      </w:r>
      <w:r w:rsidRPr="00F67792">
        <w:rPr>
          <w:rFonts w:ascii="Garamond" w:eastAsia="Aptos" w:hAnsi="Garamond" w:cs="Arial"/>
          <w:i/>
          <w:iCs/>
          <w:kern w:val="2"/>
          <w:sz w:val="26"/>
          <w:szCs w:val="26"/>
          <w14:ligatures w14:val="standardContextual"/>
        </w:rPr>
        <w:t>Amministrazione Trasparente</w:t>
      </w:r>
      <w:r w:rsidR="008E18D8">
        <w:rPr>
          <w:rFonts w:ascii="Garamond" w:eastAsia="Aptos" w:hAnsi="Garamond" w:cs="Arial"/>
          <w:kern w:val="2"/>
          <w:sz w:val="26"/>
          <w:szCs w:val="26"/>
          <w14:ligatures w14:val="standardContextual"/>
        </w:rPr>
        <w:t xml:space="preserve"> (</w:t>
      </w:r>
      <w:r w:rsidRPr="008E2B66">
        <w:rPr>
          <w:rFonts w:ascii="Garamond" w:eastAsia="Aptos" w:hAnsi="Garamond" w:cs="Arial"/>
          <w:kern w:val="2"/>
          <w:sz w:val="26"/>
          <w:szCs w:val="26"/>
          <w14:ligatures w14:val="standardContextual"/>
        </w:rPr>
        <w:t xml:space="preserve">la cui struttura è stata parzialmente modificata </w:t>
      </w:r>
      <w:r w:rsidRPr="008E2B66">
        <w:rPr>
          <w:rFonts w:ascii="Garamond" w:eastAsia="Aptos" w:hAnsi="Garamond" w:cs="Arial"/>
          <w:kern w:val="2"/>
          <w:sz w:val="26"/>
          <w:szCs w:val="26"/>
          <w14:ligatures w14:val="standardContextual"/>
        </w:rPr>
        <w:lastRenderedPageBreak/>
        <w:t>nel 2024 secondo le direttive ANAC</w:t>
      </w:r>
      <w:r w:rsidR="008E18D8">
        <w:rPr>
          <w:rFonts w:ascii="Garamond" w:eastAsia="Aptos" w:hAnsi="Garamond" w:cs="Arial"/>
          <w:kern w:val="2"/>
          <w:sz w:val="26"/>
          <w:szCs w:val="26"/>
          <w14:ligatures w14:val="standardContextual"/>
        </w:rPr>
        <w:t xml:space="preserve">), </w:t>
      </w:r>
      <w:r w:rsidRPr="008E2B66">
        <w:rPr>
          <w:rFonts w:ascii="Garamond" w:eastAsia="Aptos" w:hAnsi="Garamond" w:cs="Arial"/>
          <w:kern w:val="2"/>
          <w:sz w:val="26"/>
          <w:szCs w:val="26"/>
          <w14:ligatures w14:val="standardContextual"/>
        </w:rPr>
        <w:t>nonché</w:t>
      </w:r>
      <w:r w:rsidRPr="008E2B66">
        <w:rPr>
          <w:rFonts w:ascii="Garamond" w:eastAsia="Aptos" w:hAnsi="Garamond" w:cs="Arial"/>
          <w:b/>
          <w:bCs/>
          <w:kern w:val="2"/>
          <w:sz w:val="26"/>
          <w:szCs w:val="26"/>
          <w14:ligatures w14:val="standardContextual"/>
        </w:rPr>
        <w:t xml:space="preserve"> </w:t>
      </w:r>
      <w:r w:rsidRPr="008E2B66">
        <w:rPr>
          <w:rFonts w:ascii="Garamond" w:eastAsia="Aptos" w:hAnsi="Garamond" w:cs="Arial"/>
          <w:kern w:val="2"/>
          <w:sz w:val="26"/>
          <w:szCs w:val="26"/>
          <w14:ligatures w14:val="standardContextual"/>
        </w:rPr>
        <w:t>la gestione e l’effettivo impatto economico nell’utilizzo di risorse PNRR.</w:t>
      </w:r>
    </w:p>
    <w:p w14:paraId="67AE6B4F" w14:textId="69E6723C" w:rsidR="00FB1853" w:rsidRPr="008E2B66" w:rsidRDefault="00FB1853" w:rsidP="00FB1853">
      <w:pPr>
        <w:spacing w:after="80" w:line="276" w:lineRule="auto"/>
        <w:jc w:val="both"/>
        <w:rPr>
          <w:rFonts w:ascii="Garamond" w:eastAsia="Aptos" w:hAnsi="Garamond" w:cs="Arial"/>
          <w:kern w:val="2"/>
          <w:sz w:val="26"/>
          <w:szCs w:val="26"/>
          <w14:ligatures w14:val="standardContextual"/>
        </w:rPr>
      </w:pPr>
      <w:r w:rsidRPr="008E2B66">
        <w:rPr>
          <w:rFonts w:ascii="Garamond" w:eastAsia="Aptos" w:hAnsi="Garamond" w:cs="Arial"/>
          <w:kern w:val="2"/>
          <w:sz w:val="26"/>
          <w:szCs w:val="26"/>
          <w14:ligatures w14:val="standardContextual"/>
        </w:rPr>
        <w:t>A tale riguardo, giova evidenziare che</w:t>
      </w:r>
      <w:r w:rsidR="008E18D8">
        <w:rPr>
          <w:rFonts w:ascii="Garamond" w:eastAsia="Aptos" w:hAnsi="Garamond" w:cs="Arial"/>
          <w:kern w:val="2"/>
          <w:sz w:val="26"/>
          <w:szCs w:val="26"/>
          <w14:ligatures w14:val="standardContextual"/>
        </w:rPr>
        <w:t xml:space="preserve"> - </w:t>
      </w:r>
      <w:r w:rsidRPr="008E2B66">
        <w:rPr>
          <w:rFonts w:ascii="Garamond" w:eastAsia="Aptos" w:hAnsi="Garamond" w:cs="Arial"/>
          <w:kern w:val="2"/>
          <w:sz w:val="26"/>
          <w:szCs w:val="26"/>
          <w14:ligatures w14:val="standardContextual"/>
        </w:rPr>
        <w:t xml:space="preserve">dopo un avvio parziale delle attività di ricerca avvenuto sostanzialmente </w:t>
      </w:r>
      <w:r w:rsidR="008E18D8">
        <w:rPr>
          <w:rFonts w:ascii="Garamond" w:eastAsia="Aptos" w:hAnsi="Garamond" w:cs="Arial"/>
          <w:kern w:val="2"/>
          <w:sz w:val="26"/>
          <w:szCs w:val="26"/>
          <w14:ligatures w14:val="standardContextual"/>
        </w:rPr>
        <w:t xml:space="preserve">in adesione </w:t>
      </w:r>
      <w:r w:rsidRPr="008E2B66">
        <w:rPr>
          <w:rFonts w:ascii="Garamond" w:eastAsia="Aptos" w:hAnsi="Garamond" w:cs="Arial"/>
          <w:kern w:val="2"/>
          <w:sz w:val="26"/>
          <w:szCs w:val="26"/>
          <w14:ligatures w14:val="standardContextual"/>
        </w:rPr>
        <w:t xml:space="preserve">ai progetti PNRR banditi dal MUR e a varie forme di </w:t>
      </w:r>
      <w:r w:rsidRPr="008E18D8">
        <w:rPr>
          <w:rFonts w:ascii="Garamond" w:eastAsia="Aptos" w:hAnsi="Garamond" w:cs="Arial"/>
          <w:i/>
          <w:iCs/>
          <w:kern w:val="2"/>
          <w:sz w:val="26"/>
          <w:szCs w:val="26"/>
          <w14:ligatures w14:val="standardContextual"/>
        </w:rPr>
        <w:t>partenariato</w:t>
      </w:r>
      <w:r w:rsidR="008E18D8">
        <w:rPr>
          <w:rFonts w:ascii="Garamond" w:eastAsia="Aptos" w:hAnsi="Garamond" w:cs="Arial"/>
          <w:i/>
          <w:iCs/>
          <w:kern w:val="2"/>
          <w:sz w:val="26"/>
          <w:szCs w:val="26"/>
          <w14:ligatures w14:val="standardContextual"/>
        </w:rPr>
        <w:t xml:space="preserve"> </w:t>
      </w:r>
      <w:r w:rsidR="005D153B">
        <w:rPr>
          <w:rFonts w:ascii="Garamond" w:eastAsia="Aptos" w:hAnsi="Garamond" w:cs="Arial"/>
          <w:i/>
          <w:iCs/>
          <w:kern w:val="2"/>
          <w:sz w:val="26"/>
          <w:szCs w:val="26"/>
          <w14:ligatures w14:val="standardContextual"/>
        </w:rPr>
        <w:t>-</w:t>
      </w:r>
      <w:r w:rsidR="008E18D8">
        <w:rPr>
          <w:rFonts w:ascii="Garamond" w:eastAsia="Aptos" w:hAnsi="Garamond" w:cs="Arial"/>
          <w:kern w:val="2"/>
          <w:sz w:val="26"/>
          <w:szCs w:val="26"/>
          <w14:ligatures w14:val="standardContextual"/>
        </w:rPr>
        <w:t xml:space="preserve"> è stato riscontrato</w:t>
      </w:r>
      <w:r w:rsidRPr="008E2B66">
        <w:rPr>
          <w:rFonts w:ascii="Garamond" w:eastAsia="Aptos" w:hAnsi="Garamond" w:cs="Arial"/>
          <w:kern w:val="2"/>
          <w:sz w:val="26"/>
          <w:szCs w:val="26"/>
          <w14:ligatures w14:val="standardContextual"/>
        </w:rPr>
        <w:t xml:space="preserve"> un maggiore coinvolgimento dei Centri </w:t>
      </w:r>
      <w:r w:rsidR="008E18D8">
        <w:rPr>
          <w:rFonts w:ascii="Garamond" w:eastAsia="Aptos" w:hAnsi="Garamond" w:cs="Arial"/>
          <w:kern w:val="2"/>
          <w:sz w:val="26"/>
          <w:szCs w:val="26"/>
          <w14:ligatures w14:val="standardContextual"/>
        </w:rPr>
        <w:t>di ricerca</w:t>
      </w:r>
      <w:r w:rsidR="009933B2">
        <w:rPr>
          <w:rFonts w:ascii="Garamond" w:eastAsia="Aptos" w:hAnsi="Garamond" w:cs="Arial"/>
          <w:kern w:val="2"/>
          <w:sz w:val="26"/>
          <w:szCs w:val="26"/>
          <w14:ligatures w14:val="standardContextual"/>
        </w:rPr>
        <w:t xml:space="preserve"> -</w:t>
      </w:r>
      <w:r w:rsidR="008E18D8">
        <w:rPr>
          <w:rFonts w:ascii="Garamond" w:eastAsia="Aptos" w:hAnsi="Garamond" w:cs="Arial"/>
          <w:kern w:val="2"/>
          <w:sz w:val="26"/>
          <w:szCs w:val="26"/>
          <w14:ligatures w14:val="standardContextual"/>
        </w:rPr>
        <w:t xml:space="preserve"> </w:t>
      </w:r>
      <w:r w:rsidRPr="008E2B66">
        <w:rPr>
          <w:rFonts w:ascii="Garamond" w:eastAsia="Aptos" w:hAnsi="Garamond" w:cs="Arial"/>
          <w:kern w:val="2"/>
          <w:sz w:val="26"/>
          <w:szCs w:val="26"/>
          <w14:ligatures w14:val="standardContextual"/>
        </w:rPr>
        <w:t>nell’ambito delle iniziative PNRR gestite dal MASAF</w:t>
      </w:r>
      <w:r w:rsidR="009933B2">
        <w:rPr>
          <w:rFonts w:ascii="Garamond" w:eastAsia="Aptos" w:hAnsi="Garamond" w:cs="Arial"/>
          <w:kern w:val="2"/>
          <w:sz w:val="26"/>
          <w:szCs w:val="26"/>
          <w14:ligatures w14:val="standardContextual"/>
        </w:rPr>
        <w:t xml:space="preserve"> - riguardanti l’</w:t>
      </w:r>
      <w:r w:rsidRPr="008E2B66">
        <w:rPr>
          <w:rFonts w:ascii="Garamond" w:eastAsia="Aptos" w:hAnsi="Garamond" w:cs="Arial"/>
          <w:kern w:val="2"/>
          <w:sz w:val="26"/>
          <w:szCs w:val="26"/>
          <w14:ligatures w14:val="standardContextual"/>
        </w:rPr>
        <w:t>ammodernamento delle filiere produttive</w:t>
      </w:r>
      <w:r w:rsidRPr="008E2B66">
        <w:rPr>
          <w:rStyle w:val="Rimandonotaapidipagina"/>
          <w:rFonts w:ascii="Garamond" w:eastAsia="Aptos" w:hAnsi="Garamond" w:cs="Arial"/>
          <w:kern w:val="2"/>
          <w:sz w:val="26"/>
          <w:szCs w:val="26"/>
          <w14:ligatures w14:val="standardContextual"/>
        </w:rPr>
        <w:footnoteReference w:id="1"/>
      </w:r>
      <w:r w:rsidRPr="008E2B66">
        <w:rPr>
          <w:rFonts w:ascii="Garamond" w:eastAsia="Aptos" w:hAnsi="Garamond" w:cs="Arial"/>
          <w:kern w:val="2"/>
          <w:sz w:val="26"/>
          <w:szCs w:val="26"/>
          <w14:ligatures w14:val="standardContextual"/>
        </w:rPr>
        <w:t>.</w:t>
      </w:r>
    </w:p>
    <w:p w14:paraId="29579562" w14:textId="36C3225C" w:rsidR="00FB1853" w:rsidRPr="008E2B66" w:rsidRDefault="00FB1853" w:rsidP="00FB1853">
      <w:pPr>
        <w:spacing w:after="160" w:line="276" w:lineRule="auto"/>
        <w:jc w:val="both"/>
        <w:rPr>
          <w:rFonts w:ascii="Garamond" w:eastAsia="Aptos" w:hAnsi="Garamond" w:cs="Arial"/>
          <w:kern w:val="2"/>
          <w:sz w:val="26"/>
          <w:szCs w:val="26"/>
          <w14:ligatures w14:val="standardContextual"/>
        </w:rPr>
      </w:pPr>
      <w:r w:rsidRPr="008E2B66">
        <w:rPr>
          <w:rFonts w:ascii="Garamond" w:eastAsia="Aptos" w:hAnsi="Garamond" w:cs="Arial"/>
          <w:kern w:val="2"/>
          <w:sz w:val="26"/>
          <w:szCs w:val="26"/>
          <w14:ligatures w14:val="standardContextual"/>
        </w:rPr>
        <w:t xml:space="preserve">L’obiettivo perseguito </w:t>
      </w:r>
      <w:r w:rsidRPr="005D153B">
        <w:rPr>
          <w:rFonts w:ascii="Garamond" w:eastAsia="Aptos" w:hAnsi="Garamond" w:cs="Arial"/>
          <w:kern w:val="2"/>
          <w:sz w:val="26"/>
          <w:szCs w:val="26"/>
          <w14:ligatures w14:val="standardContextual"/>
        </w:rPr>
        <w:t>dalla programmazione</w:t>
      </w:r>
      <w:r w:rsidR="009933B2" w:rsidRPr="005D153B">
        <w:rPr>
          <w:rFonts w:ascii="Garamond" w:eastAsia="Aptos" w:hAnsi="Garamond" w:cs="Arial"/>
          <w:kern w:val="2"/>
          <w:sz w:val="26"/>
          <w:szCs w:val="26"/>
          <w14:ligatures w14:val="standardContextual"/>
        </w:rPr>
        <w:t xml:space="preserve"> delle attività in materia di rischi corruttivi e trasparenza</w:t>
      </w:r>
      <w:r w:rsidRPr="008E2B66">
        <w:rPr>
          <w:rFonts w:ascii="Garamond" w:eastAsia="Aptos" w:hAnsi="Garamond" w:cs="Arial"/>
          <w:kern w:val="2"/>
          <w:sz w:val="26"/>
          <w:szCs w:val="26"/>
          <w14:ligatures w14:val="standardContextual"/>
        </w:rPr>
        <w:t>, è volto, quindi, ad una prevenzione di fenomeni corruttivi sempre più efficace e mirata rispetto alla realtà dell’Ente</w:t>
      </w:r>
      <w:r w:rsidR="009933B2">
        <w:rPr>
          <w:rFonts w:ascii="Garamond" w:eastAsia="Aptos" w:hAnsi="Garamond" w:cs="Arial"/>
          <w:kern w:val="2"/>
          <w:sz w:val="26"/>
          <w:szCs w:val="26"/>
          <w14:ligatures w14:val="standardContextual"/>
        </w:rPr>
        <w:t xml:space="preserve">, </w:t>
      </w:r>
      <w:r w:rsidRPr="008E2B66">
        <w:rPr>
          <w:rFonts w:ascii="Garamond" w:eastAsia="Aptos" w:hAnsi="Garamond" w:cs="Arial"/>
          <w:kern w:val="2"/>
          <w:sz w:val="26"/>
          <w:szCs w:val="26"/>
          <w14:ligatures w14:val="standardContextual"/>
        </w:rPr>
        <w:t>con il coinvolgimento</w:t>
      </w:r>
      <w:r w:rsidR="009933B2">
        <w:rPr>
          <w:rFonts w:ascii="Garamond" w:eastAsia="Aptos" w:hAnsi="Garamond" w:cs="Arial"/>
          <w:kern w:val="2"/>
          <w:sz w:val="26"/>
          <w:szCs w:val="26"/>
          <w14:ligatures w14:val="standardContextual"/>
        </w:rPr>
        <w:t>, in un’ottica di massima collaborazione,</w:t>
      </w:r>
      <w:r w:rsidRPr="008E2B66">
        <w:rPr>
          <w:rFonts w:ascii="Garamond" w:eastAsia="Aptos" w:hAnsi="Garamond" w:cs="Arial"/>
          <w:kern w:val="2"/>
          <w:sz w:val="26"/>
          <w:szCs w:val="26"/>
          <w14:ligatures w14:val="standardContextual"/>
        </w:rPr>
        <w:t xml:space="preserve"> </w:t>
      </w:r>
      <w:r w:rsidR="009933B2">
        <w:rPr>
          <w:rFonts w:ascii="Garamond" w:eastAsia="Aptos" w:hAnsi="Garamond" w:cs="Arial"/>
          <w:kern w:val="2"/>
          <w:sz w:val="26"/>
          <w:szCs w:val="26"/>
          <w14:ligatures w14:val="standardContextual"/>
        </w:rPr>
        <w:t xml:space="preserve">dei </w:t>
      </w:r>
      <w:r w:rsidR="009933B2" w:rsidRPr="005D153B">
        <w:rPr>
          <w:rFonts w:ascii="Garamond" w:eastAsia="Aptos" w:hAnsi="Garamond" w:cs="Arial"/>
          <w:kern w:val="2"/>
          <w:sz w:val="26"/>
          <w:szCs w:val="26"/>
          <w14:ligatures w14:val="standardContextual"/>
        </w:rPr>
        <w:t xml:space="preserve">responsabili </w:t>
      </w:r>
      <w:r w:rsidRPr="005D153B">
        <w:rPr>
          <w:rFonts w:ascii="Garamond" w:eastAsia="Aptos" w:hAnsi="Garamond" w:cs="Arial"/>
          <w:kern w:val="2"/>
          <w:sz w:val="26"/>
          <w:szCs w:val="26"/>
          <w14:ligatures w14:val="standardContextual"/>
        </w:rPr>
        <w:t xml:space="preserve">degli Uffici </w:t>
      </w:r>
      <w:r w:rsidR="009933B2" w:rsidRPr="005D153B">
        <w:rPr>
          <w:rFonts w:ascii="Garamond" w:eastAsia="Aptos" w:hAnsi="Garamond" w:cs="Arial"/>
          <w:kern w:val="2"/>
          <w:sz w:val="26"/>
          <w:szCs w:val="26"/>
          <w14:ligatures w14:val="standardContextual"/>
        </w:rPr>
        <w:t>dell’</w:t>
      </w:r>
      <w:r w:rsidR="005D153B">
        <w:rPr>
          <w:rFonts w:ascii="Garamond" w:eastAsia="Aptos" w:hAnsi="Garamond" w:cs="Arial"/>
          <w:kern w:val="2"/>
          <w:sz w:val="26"/>
          <w:szCs w:val="26"/>
          <w14:ligatures w14:val="standardContextual"/>
        </w:rPr>
        <w:t>A</w:t>
      </w:r>
      <w:r w:rsidR="009933B2" w:rsidRPr="005D153B">
        <w:rPr>
          <w:rFonts w:ascii="Garamond" w:eastAsia="Aptos" w:hAnsi="Garamond" w:cs="Arial"/>
          <w:kern w:val="2"/>
          <w:sz w:val="26"/>
          <w:szCs w:val="26"/>
          <w14:ligatures w14:val="standardContextual"/>
        </w:rPr>
        <w:t xml:space="preserve">mministrazione </w:t>
      </w:r>
      <w:r w:rsidRPr="005D153B">
        <w:rPr>
          <w:rFonts w:ascii="Garamond" w:eastAsia="Aptos" w:hAnsi="Garamond" w:cs="Arial"/>
          <w:kern w:val="2"/>
          <w:sz w:val="26"/>
          <w:szCs w:val="26"/>
          <w14:ligatures w14:val="standardContextual"/>
        </w:rPr>
        <w:t>central</w:t>
      </w:r>
      <w:r w:rsidR="009933B2" w:rsidRPr="005D153B">
        <w:rPr>
          <w:rFonts w:ascii="Garamond" w:eastAsia="Aptos" w:hAnsi="Garamond" w:cs="Arial"/>
          <w:kern w:val="2"/>
          <w:sz w:val="26"/>
          <w:szCs w:val="26"/>
          <w14:ligatures w14:val="standardContextual"/>
        </w:rPr>
        <w:t>e</w:t>
      </w:r>
      <w:r w:rsidRPr="005D153B">
        <w:rPr>
          <w:rFonts w:ascii="Garamond" w:eastAsia="Aptos" w:hAnsi="Garamond" w:cs="Arial"/>
          <w:kern w:val="2"/>
          <w:sz w:val="26"/>
          <w:szCs w:val="26"/>
          <w14:ligatures w14:val="standardContextual"/>
        </w:rPr>
        <w:t xml:space="preserve"> e dei Centri di ricerca, referenti privilegiati del RPCT.</w:t>
      </w:r>
    </w:p>
    <w:p w14:paraId="4F3AC505" w14:textId="15565657" w:rsidR="004A0647" w:rsidRPr="008E2B66" w:rsidRDefault="004A0647" w:rsidP="004A0647">
      <w:pPr>
        <w:spacing w:after="160" w:line="360" w:lineRule="auto"/>
        <w:jc w:val="both"/>
        <w:rPr>
          <w:rFonts w:ascii="Garamond" w:eastAsia="Aptos" w:hAnsi="Garamond" w:cs="Arial"/>
          <w:b/>
          <w:bCs/>
          <w:kern w:val="2"/>
          <w:sz w:val="26"/>
          <w:szCs w:val="26"/>
          <w14:ligatures w14:val="standardContextual"/>
        </w:rPr>
      </w:pPr>
      <w:r w:rsidRPr="008E2B66">
        <w:rPr>
          <w:rFonts w:ascii="Garamond" w:eastAsia="Aptos" w:hAnsi="Garamond" w:cs="Arial"/>
          <w:b/>
          <w:bCs/>
          <w:kern w:val="2"/>
          <w:sz w:val="26"/>
          <w:szCs w:val="26"/>
          <w14:ligatures w14:val="standardContextual"/>
        </w:rPr>
        <w:t>2.3.2. A</w:t>
      </w:r>
      <w:r w:rsidR="00FB6989" w:rsidRPr="008E2B66">
        <w:rPr>
          <w:rFonts w:ascii="Garamond" w:eastAsia="Aptos" w:hAnsi="Garamond" w:cs="Arial"/>
          <w:b/>
          <w:bCs/>
          <w:kern w:val="2"/>
          <w:sz w:val="26"/>
          <w:szCs w:val="26"/>
          <w14:ligatures w14:val="standardContextual"/>
        </w:rPr>
        <w:t>nticorruzione</w:t>
      </w:r>
      <w:r w:rsidRPr="008E2B66">
        <w:rPr>
          <w:rFonts w:ascii="Garamond" w:eastAsia="Aptos" w:hAnsi="Garamond" w:cs="Arial"/>
          <w:b/>
          <w:bCs/>
          <w:kern w:val="2"/>
          <w:sz w:val="26"/>
          <w:szCs w:val="26"/>
          <w14:ligatures w14:val="standardContextual"/>
        </w:rPr>
        <w:t xml:space="preserve"> </w:t>
      </w:r>
    </w:p>
    <w:p w14:paraId="754CB67D" w14:textId="7709EF3F" w:rsidR="004A0647" w:rsidRPr="008E2B66" w:rsidRDefault="004A0647" w:rsidP="004A0647">
      <w:pPr>
        <w:spacing w:after="160" w:line="360" w:lineRule="auto"/>
        <w:jc w:val="both"/>
        <w:rPr>
          <w:rFonts w:ascii="Garamond" w:eastAsia="Aptos" w:hAnsi="Garamond" w:cs="Arial"/>
          <w:kern w:val="2"/>
          <w:sz w:val="26"/>
          <w:szCs w:val="26"/>
          <w14:ligatures w14:val="standardContextual"/>
        </w:rPr>
      </w:pPr>
      <w:r w:rsidRPr="005D153B">
        <w:rPr>
          <w:rFonts w:ascii="Garamond" w:eastAsia="Aptos" w:hAnsi="Garamond" w:cs="Arial"/>
          <w:b/>
          <w:bCs/>
          <w:kern w:val="2"/>
          <w:sz w:val="26"/>
          <w:szCs w:val="26"/>
          <w14:ligatures w14:val="standardContextual"/>
        </w:rPr>
        <w:t>Soggetti coinvolti nelle politiche di prevenzione</w:t>
      </w:r>
      <w:r w:rsidR="00FB1853" w:rsidRPr="005D153B">
        <w:rPr>
          <w:rFonts w:ascii="Garamond" w:eastAsia="Aptos" w:hAnsi="Garamond" w:cs="Arial"/>
          <w:b/>
          <w:bCs/>
          <w:kern w:val="2"/>
          <w:sz w:val="26"/>
          <w:szCs w:val="26"/>
          <w14:ligatures w14:val="standardContextual"/>
        </w:rPr>
        <w:t xml:space="preserve"> </w:t>
      </w:r>
    </w:p>
    <w:p w14:paraId="0AE3CF7A" w14:textId="663B7EFB" w:rsidR="00220355" w:rsidRPr="008E2B66" w:rsidRDefault="00CD07EA" w:rsidP="00FB1853">
      <w:pPr>
        <w:spacing w:after="80" w:line="276" w:lineRule="auto"/>
        <w:jc w:val="both"/>
        <w:rPr>
          <w:rFonts w:ascii="Garamond" w:eastAsiaTheme="minorEastAsia" w:hAnsi="Garamond" w:cs="Arial"/>
          <w:sz w:val="26"/>
          <w:szCs w:val="26"/>
        </w:rPr>
      </w:pPr>
      <w:r>
        <w:rPr>
          <w:rFonts w:ascii="Garamond" w:eastAsiaTheme="minorEastAsia" w:hAnsi="Garamond" w:cs="Arial"/>
          <w:sz w:val="26"/>
          <w:szCs w:val="26"/>
        </w:rPr>
        <w:t xml:space="preserve">Di seguito sono riportati i </w:t>
      </w:r>
      <w:r w:rsidR="00220355" w:rsidRPr="008E2B66">
        <w:rPr>
          <w:rFonts w:ascii="Garamond" w:eastAsiaTheme="minorEastAsia" w:hAnsi="Garamond" w:cs="Arial"/>
          <w:sz w:val="26"/>
          <w:szCs w:val="26"/>
        </w:rPr>
        <w:t>soggetti coinvolti nell’attività di sensibilizzazione sulla valenza istituzionale della cultura della legalità, anche in base al ruolo da essi rivestito</w:t>
      </w:r>
      <w:r>
        <w:rPr>
          <w:rFonts w:ascii="Garamond" w:eastAsiaTheme="minorEastAsia" w:hAnsi="Garamond" w:cs="Arial"/>
          <w:sz w:val="26"/>
          <w:szCs w:val="26"/>
        </w:rPr>
        <w:t xml:space="preserve"> nell’Ente</w:t>
      </w:r>
      <w:r w:rsidR="00220355" w:rsidRPr="008E2B66">
        <w:rPr>
          <w:rFonts w:ascii="Garamond" w:eastAsiaTheme="minorEastAsia" w:hAnsi="Garamond" w:cs="Arial"/>
          <w:sz w:val="26"/>
          <w:szCs w:val="26"/>
        </w:rPr>
        <w:t>, rinviando</w:t>
      </w:r>
      <w:r w:rsidR="009A3374" w:rsidRPr="008E2B66">
        <w:rPr>
          <w:rFonts w:ascii="Garamond" w:eastAsiaTheme="minorEastAsia" w:hAnsi="Garamond" w:cs="Arial"/>
          <w:sz w:val="26"/>
          <w:szCs w:val="26"/>
        </w:rPr>
        <w:t xml:space="preserve"> per la descrizione dei rispettivi compiti</w:t>
      </w:r>
      <w:r w:rsidR="00220355" w:rsidRPr="008E2B66">
        <w:rPr>
          <w:rFonts w:ascii="Garamond" w:eastAsiaTheme="minorEastAsia" w:hAnsi="Garamond" w:cs="Arial"/>
          <w:sz w:val="26"/>
          <w:szCs w:val="26"/>
        </w:rPr>
        <w:t xml:space="preserve"> al </w:t>
      </w:r>
      <w:r w:rsidR="00E03E5F" w:rsidRPr="006257A6">
        <w:rPr>
          <w:rFonts w:ascii="Garamond" w:eastAsiaTheme="minorEastAsia" w:hAnsi="Garamond" w:cs="Arial"/>
          <w:i/>
          <w:iCs/>
          <w:sz w:val="26"/>
          <w:szCs w:val="26"/>
        </w:rPr>
        <w:t>paragrafo 1</w:t>
      </w:r>
      <w:r w:rsidR="00E03E5F" w:rsidRPr="008E2B66">
        <w:rPr>
          <w:rFonts w:ascii="Garamond" w:eastAsiaTheme="minorEastAsia" w:hAnsi="Garamond" w:cs="Arial"/>
          <w:sz w:val="26"/>
          <w:szCs w:val="26"/>
        </w:rPr>
        <w:t xml:space="preserve"> della parte prima della </w:t>
      </w:r>
      <w:r w:rsidR="00E03E5F" w:rsidRPr="006257A6">
        <w:rPr>
          <w:rFonts w:ascii="Garamond" w:eastAsiaTheme="minorEastAsia" w:hAnsi="Garamond" w:cs="Arial"/>
          <w:i/>
          <w:iCs/>
          <w:sz w:val="26"/>
          <w:szCs w:val="26"/>
        </w:rPr>
        <w:t>sottosezione</w:t>
      </w:r>
      <w:r w:rsidR="00E03E5F" w:rsidRPr="008E2B66">
        <w:rPr>
          <w:rFonts w:ascii="Garamond" w:eastAsiaTheme="minorEastAsia" w:hAnsi="Garamond" w:cs="Arial"/>
          <w:sz w:val="26"/>
          <w:szCs w:val="26"/>
        </w:rPr>
        <w:t xml:space="preserve"> </w:t>
      </w:r>
      <w:r w:rsidR="00E03E5F" w:rsidRPr="00A84E1C">
        <w:rPr>
          <w:rFonts w:ascii="Garamond" w:eastAsiaTheme="minorEastAsia" w:hAnsi="Garamond" w:cs="Arial"/>
          <w:i/>
          <w:iCs/>
          <w:sz w:val="26"/>
          <w:szCs w:val="26"/>
        </w:rPr>
        <w:t>2.3 Rischi corruttivi e trasparenza</w:t>
      </w:r>
      <w:r w:rsidR="00E03E5F" w:rsidRPr="008E2B66">
        <w:rPr>
          <w:rFonts w:ascii="Garamond" w:eastAsiaTheme="minorEastAsia" w:hAnsi="Garamond" w:cs="Arial"/>
          <w:sz w:val="26"/>
          <w:szCs w:val="26"/>
        </w:rPr>
        <w:t xml:space="preserve"> del </w:t>
      </w:r>
      <w:hyperlink r:id="rId8" w:history="1">
        <w:r w:rsidR="00E03E5F" w:rsidRPr="008E2B66">
          <w:rPr>
            <w:rStyle w:val="Collegamentoipertestuale"/>
            <w:rFonts w:ascii="Garamond" w:eastAsiaTheme="minorEastAsia" w:hAnsi="Garamond" w:cs="Arial"/>
            <w:sz w:val="26"/>
            <w:szCs w:val="26"/>
          </w:rPr>
          <w:t xml:space="preserve">PIAO </w:t>
        </w:r>
        <w:r w:rsidR="00220355" w:rsidRPr="008E2B66">
          <w:rPr>
            <w:rStyle w:val="Collegamentoipertestuale"/>
            <w:rFonts w:ascii="Garamond" w:eastAsiaTheme="minorEastAsia" w:hAnsi="Garamond" w:cs="Arial"/>
            <w:sz w:val="26"/>
            <w:szCs w:val="26"/>
          </w:rPr>
          <w:t>2022</w:t>
        </w:r>
        <w:r w:rsidR="006257A6">
          <w:rPr>
            <w:rStyle w:val="Collegamentoipertestuale"/>
            <w:rFonts w:ascii="Garamond" w:eastAsiaTheme="minorEastAsia" w:hAnsi="Garamond" w:cs="Arial"/>
            <w:sz w:val="26"/>
            <w:szCs w:val="26"/>
          </w:rPr>
          <w:t>/</w:t>
        </w:r>
        <w:r w:rsidR="00220355" w:rsidRPr="008E2B66">
          <w:rPr>
            <w:rStyle w:val="Collegamentoipertestuale"/>
            <w:rFonts w:ascii="Garamond" w:eastAsiaTheme="minorEastAsia" w:hAnsi="Garamond" w:cs="Arial"/>
            <w:sz w:val="26"/>
            <w:szCs w:val="26"/>
          </w:rPr>
          <w:t>2024</w:t>
        </w:r>
      </w:hyperlink>
      <w:r w:rsidR="005357FC">
        <w:rPr>
          <w:rFonts w:ascii="Garamond" w:eastAsiaTheme="minorEastAsia" w:hAnsi="Garamond" w:cs="Arial"/>
          <w:sz w:val="26"/>
          <w:szCs w:val="26"/>
        </w:rPr>
        <w:t>:</w:t>
      </w:r>
    </w:p>
    <w:p w14:paraId="609B28BA" w14:textId="398AC50B" w:rsidR="00220355" w:rsidRPr="008E2B66" w:rsidRDefault="00220355" w:rsidP="00FB1853">
      <w:pPr>
        <w:spacing w:after="80" w:line="276" w:lineRule="auto"/>
        <w:jc w:val="both"/>
        <w:rPr>
          <w:rFonts w:ascii="Garamond" w:eastAsiaTheme="minorEastAsia" w:hAnsi="Garamond" w:cs="Arial"/>
          <w:sz w:val="26"/>
          <w:szCs w:val="26"/>
        </w:rPr>
      </w:pPr>
      <w:r w:rsidRPr="008E2B66">
        <w:rPr>
          <w:rFonts w:ascii="Garamond" w:eastAsiaTheme="minorEastAsia" w:hAnsi="Garamond" w:cs="Arial"/>
          <w:sz w:val="26"/>
          <w:szCs w:val="26"/>
        </w:rPr>
        <w:t xml:space="preserve">• Dipendenti ad ogni livello a partire dai </w:t>
      </w:r>
      <w:r w:rsidR="00E03E5F" w:rsidRPr="008E2B66">
        <w:rPr>
          <w:rFonts w:ascii="Garamond" w:eastAsiaTheme="minorEastAsia" w:hAnsi="Garamond" w:cs="Arial"/>
          <w:sz w:val="26"/>
          <w:szCs w:val="26"/>
        </w:rPr>
        <w:t xml:space="preserve">Dirigenti degli Uffici </w:t>
      </w:r>
      <w:r w:rsidR="006257A6">
        <w:rPr>
          <w:rFonts w:ascii="Garamond" w:eastAsiaTheme="minorEastAsia" w:hAnsi="Garamond" w:cs="Arial"/>
          <w:sz w:val="26"/>
          <w:szCs w:val="26"/>
        </w:rPr>
        <w:t xml:space="preserve">dell’Amministrazione centrale </w:t>
      </w:r>
      <w:r w:rsidR="00E03E5F" w:rsidRPr="008E2B66">
        <w:rPr>
          <w:rFonts w:ascii="Garamond" w:eastAsiaTheme="minorEastAsia" w:hAnsi="Garamond" w:cs="Arial"/>
          <w:sz w:val="26"/>
          <w:szCs w:val="26"/>
        </w:rPr>
        <w:t>e Direttori dei Centri di ricerca;</w:t>
      </w:r>
    </w:p>
    <w:p w14:paraId="3B764442" w14:textId="2CCD7509" w:rsidR="00220355" w:rsidRPr="008E2B66" w:rsidRDefault="00220355" w:rsidP="00FB1853">
      <w:pPr>
        <w:spacing w:after="80" w:line="276" w:lineRule="auto"/>
        <w:jc w:val="both"/>
        <w:rPr>
          <w:rFonts w:ascii="Garamond" w:eastAsiaTheme="minorEastAsia" w:hAnsi="Garamond" w:cs="Arial"/>
          <w:sz w:val="26"/>
          <w:szCs w:val="26"/>
        </w:rPr>
      </w:pPr>
      <w:r w:rsidRPr="008E2B66">
        <w:rPr>
          <w:rFonts w:ascii="Garamond" w:eastAsiaTheme="minorEastAsia" w:hAnsi="Garamond" w:cs="Arial"/>
          <w:sz w:val="26"/>
          <w:szCs w:val="26"/>
        </w:rPr>
        <w:t xml:space="preserve">• Organi di indirizzo politico del CREA (Presidente e </w:t>
      </w:r>
      <w:r w:rsidR="008E5234" w:rsidRPr="008E2B66">
        <w:rPr>
          <w:rFonts w:ascii="Garamond" w:eastAsiaTheme="minorEastAsia" w:hAnsi="Garamond" w:cs="Arial"/>
          <w:sz w:val="26"/>
          <w:szCs w:val="26"/>
        </w:rPr>
        <w:t>Consiglio di amministrazione</w:t>
      </w:r>
      <w:r w:rsidRPr="008E2B66">
        <w:rPr>
          <w:rFonts w:ascii="Garamond" w:eastAsiaTheme="minorEastAsia" w:hAnsi="Garamond" w:cs="Arial"/>
          <w:sz w:val="26"/>
          <w:szCs w:val="26"/>
        </w:rPr>
        <w:t>)</w:t>
      </w:r>
      <w:r w:rsidR="00E03E5F" w:rsidRPr="008E2B66">
        <w:rPr>
          <w:rFonts w:ascii="Garamond" w:eastAsiaTheme="minorEastAsia" w:hAnsi="Garamond" w:cs="Arial"/>
          <w:sz w:val="26"/>
          <w:szCs w:val="26"/>
        </w:rPr>
        <w:t>;</w:t>
      </w:r>
    </w:p>
    <w:p w14:paraId="432565E7" w14:textId="3065ECB1" w:rsidR="00220355" w:rsidRPr="008E2B66" w:rsidRDefault="00220355" w:rsidP="00FB1853">
      <w:pPr>
        <w:spacing w:after="80" w:line="276" w:lineRule="auto"/>
        <w:jc w:val="both"/>
        <w:rPr>
          <w:rFonts w:ascii="Garamond" w:eastAsiaTheme="minorEastAsia" w:hAnsi="Garamond" w:cs="Arial"/>
          <w:sz w:val="26"/>
          <w:szCs w:val="26"/>
        </w:rPr>
      </w:pPr>
      <w:r w:rsidRPr="008E2B66">
        <w:rPr>
          <w:rFonts w:ascii="Garamond" w:eastAsiaTheme="minorEastAsia" w:hAnsi="Garamond" w:cs="Arial"/>
          <w:sz w:val="26"/>
          <w:szCs w:val="26"/>
        </w:rPr>
        <w:t>• Organismo Indipendente di Valutazione</w:t>
      </w:r>
      <w:r w:rsidR="00E03E5F" w:rsidRPr="008E2B66">
        <w:rPr>
          <w:rFonts w:ascii="Garamond" w:eastAsiaTheme="minorEastAsia" w:hAnsi="Garamond" w:cs="Arial"/>
          <w:sz w:val="26"/>
          <w:szCs w:val="26"/>
        </w:rPr>
        <w:t>;</w:t>
      </w:r>
    </w:p>
    <w:p w14:paraId="0CC3252A" w14:textId="206FEA75" w:rsidR="00220355" w:rsidRPr="008E2B66" w:rsidRDefault="00220355" w:rsidP="00FB1853">
      <w:pPr>
        <w:spacing w:after="80" w:line="276" w:lineRule="auto"/>
        <w:jc w:val="both"/>
        <w:rPr>
          <w:rFonts w:ascii="Garamond" w:eastAsiaTheme="minorEastAsia" w:hAnsi="Garamond" w:cs="Arial"/>
          <w:sz w:val="26"/>
          <w:szCs w:val="26"/>
        </w:rPr>
      </w:pPr>
      <w:r w:rsidRPr="008E2B66">
        <w:rPr>
          <w:rFonts w:ascii="Garamond" w:eastAsiaTheme="minorEastAsia" w:hAnsi="Garamond" w:cs="Arial"/>
          <w:sz w:val="26"/>
          <w:szCs w:val="26"/>
        </w:rPr>
        <w:t>• Ufficio Procedimenti Disciplinari</w:t>
      </w:r>
      <w:r w:rsidR="00E03E5F" w:rsidRPr="008E2B66">
        <w:rPr>
          <w:rFonts w:ascii="Garamond" w:eastAsiaTheme="minorEastAsia" w:hAnsi="Garamond" w:cs="Arial"/>
          <w:sz w:val="26"/>
          <w:szCs w:val="26"/>
        </w:rPr>
        <w:t>;</w:t>
      </w:r>
    </w:p>
    <w:p w14:paraId="3257976D" w14:textId="77777777" w:rsidR="006257A6" w:rsidRDefault="00220355" w:rsidP="00FB1853">
      <w:pPr>
        <w:spacing w:after="80" w:line="276" w:lineRule="auto"/>
        <w:jc w:val="both"/>
        <w:rPr>
          <w:rFonts w:ascii="Garamond" w:eastAsiaTheme="minorEastAsia" w:hAnsi="Garamond" w:cs="Arial"/>
          <w:sz w:val="26"/>
          <w:szCs w:val="26"/>
        </w:rPr>
      </w:pPr>
      <w:r w:rsidRPr="008E2B66">
        <w:rPr>
          <w:rFonts w:ascii="Garamond" w:eastAsiaTheme="minorEastAsia" w:hAnsi="Garamond" w:cs="Arial"/>
          <w:sz w:val="26"/>
          <w:szCs w:val="26"/>
        </w:rPr>
        <w:t>• Responsabile della Prevenzione della Corruzione e della Trasparenza</w:t>
      </w:r>
      <w:r w:rsidR="00DB63BA" w:rsidRPr="008E2B66">
        <w:rPr>
          <w:rFonts w:ascii="Garamond" w:eastAsiaTheme="minorEastAsia" w:hAnsi="Garamond" w:cs="Arial"/>
          <w:sz w:val="26"/>
          <w:szCs w:val="26"/>
        </w:rPr>
        <w:t xml:space="preserve">. </w:t>
      </w:r>
    </w:p>
    <w:p w14:paraId="3575725B" w14:textId="1BB60E84" w:rsidR="00220355" w:rsidRPr="008E2B66" w:rsidRDefault="00DB63BA" w:rsidP="00FB1853">
      <w:pPr>
        <w:spacing w:after="80" w:line="276" w:lineRule="auto"/>
        <w:jc w:val="both"/>
        <w:rPr>
          <w:rFonts w:ascii="Garamond" w:eastAsiaTheme="minorEastAsia" w:hAnsi="Garamond" w:cs="Arial"/>
          <w:sz w:val="26"/>
          <w:szCs w:val="26"/>
        </w:rPr>
      </w:pPr>
      <w:r w:rsidRPr="008E2B66">
        <w:rPr>
          <w:rFonts w:ascii="Garamond" w:eastAsiaTheme="minorEastAsia" w:hAnsi="Garamond" w:cs="Arial"/>
          <w:sz w:val="26"/>
          <w:szCs w:val="26"/>
        </w:rPr>
        <w:t xml:space="preserve">Il CREA ha individuato un unico </w:t>
      </w:r>
      <w:r w:rsidRPr="006257A6">
        <w:rPr>
          <w:rFonts w:ascii="Garamond" w:eastAsiaTheme="minorEastAsia" w:hAnsi="Garamond" w:cs="Arial"/>
          <w:i/>
          <w:iCs/>
          <w:sz w:val="26"/>
          <w:szCs w:val="26"/>
        </w:rPr>
        <w:t xml:space="preserve">Responsabile </w:t>
      </w:r>
      <w:r w:rsidRPr="008E2B66">
        <w:rPr>
          <w:rFonts w:ascii="Garamond" w:eastAsiaTheme="minorEastAsia" w:hAnsi="Garamond" w:cs="Arial"/>
          <w:sz w:val="26"/>
          <w:szCs w:val="26"/>
        </w:rPr>
        <w:t xml:space="preserve">sia per l’attività di prevenzione della corruzione che per la trasparenza. Con </w:t>
      </w:r>
      <w:r w:rsidR="00FB1853" w:rsidRPr="00A84E1C">
        <w:rPr>
          <w:rFonts w:ascii="Garamond" w:eastAsiaTheme="minorEastAsia" w:hAnsi="Garamond" w:cs="Arial"/>
          <w:sz w:val="26"/>
          <w:szCs w:val="26"/>
        </w:rPr>
        <w:t>d</w:t>
      </w:r>
      <w:r w:rsidR="001A038A" w:rsidRPr="00A84E1C">
        <w:rPr>
          <w:rFonts w:ascii="Garamond" w:eastAsiaTheme="minorEastAsia" w:hAnsi="Garamond" w:cs="Arial"/>
          <w:sz w:val="26"/>
          <w:szCs w:val="26"/>
        </w:rPr>
        <w:t>elibera del Cd</w:t>
      </w:r>
      <w:r w:rsidR="00A246AB" w:rsidRPr="00A84E1C">
        <w:rPr>
          <w:rFonts w:ascii="Garamond" w:eastAsiaTheme="minorEastAsia" w:hAnsi="Garamond" w:cs="Arial"/>
          <w:sz w:val="26"/>
          <w:szCs w:val="26"/>
        </w:rPr>
        <w:t>a</w:t>
      </w:r>
      <w:r w:rsidR="001A038A" w:rsidRPr="00A84E1C">
        <w:rPr>
          <w:rFonts w:ascii="Garamond" w:eastAsiaTheme="minorEastAsia" w:hAnsi="Garamond" w:cs="Arial"/>
          <w:sz w:val="26"/>
          <w:szCs w:val="26"/>
        </w:rPr>
        <w:t xml:space="preserve"> n. </w:t>
      </w:r>
      <w:r w:rsidR="007738BA" w:rsidRPr="00A84E1C">
        <w:rPr>
          <w:rFonts w:ascii="Garamond" w:eastAsiaTheme="minorEastAsia" w:hAnsi="Garamond" w:cs="Arial"/>
          <w:sz w:val="26"/>
          <w:szCs w:val="26"/>
        </w:rPr>
        <w:t>81/2025 del 29</w:t>
      </w:r>
      <w:r w:rsidR="00FB1853" w:rsidRPr="00A84E1C">
        <w:rPr>
          <w:rFonts w:ascii="Garamond" w:eastAsiaTheme="minorEastAsia" w:hAnsi="Garamond" w:cs="Arial"/>
          <w:sz w:val="26"/>
          <w:szCs w:val="26"/>
        </w:rPr>
        <w:t xml:space="preserve"> luglio </w:t>
      </w:r>
      <w:r w:rsidR="007738BA" w:rsidRPr="00A84E1C">
        <w:rPr>
          <w:rFonts w:ascii="Garamond" w:eastAsiaTheme="minorEastAsia" w:hAnsi="Garamond" w:cs="Arial"/>
          <w:sz w:val="26"/>
          <w:szCs w:val="26"/>
        </w:rPr>
        <w:t>2025 è stat</w:t>
      </w:r>
      <w:r w:rsidR="00FB1853" w:rsidRPr="00A84E1C">
        <w:rPr>
          <w:rFonts w:ascii="Garamond" w:eastAsiaTheme="minorEastAsia" w:hAnsi="Garamond" w:cs="Arial"/>
          <w:sz w:val="26"/>
          <w:szCs w:val="26"/>
        </w:rPr>
        <w:t>a</w:t>
      </w:r>
      <w:r w:rsidR="007738BA" w:rsidRPr="00A84E1C">
        <w:rPr>
          <w:rFonts w:ascii="Garamond" w:eastAsiaTheme="minorEastAsia" w:hAnsi="Garamond" w:cs="Arial"/>
          <w:sz w:val="26"/>
          <w:szCs w:val="26"/>
        </w:rPr>
        <w:t xml:space="preserve"> nominat</w:t>
      </w:r>
      <w:r w:rsidR="00FB1853" w:rsidRPr="00A84E1C">
        <w:rPr>
          <w:rFonts w:ascii="Garamond" w:eastAsiaTheme="minorEastAsia" w:hAnsi="Garamond" w:cs="Arial"/>
          <w:sz w:val="26"/>
          <w:szCs w:val="26"/>
        </w:rPr>
        <w:t>a</w:t>
      </w:r>
      <w:r w:rsidR="007738BA" w:rsidRPr="00A84E1C">
        <w:rPr>
          <w:rFonts w:ascii="Garamond" w:eastAsiaTheme="minorEastAsia" w:hAnsi="Garamond" w:cs="Arial"/>
          <w:sz w:val="26"/>
          <w:szCs w:val="26"/>
        </w:rPr>
        <w:t xml:space="preserve"> quale </w:t>
      </w:r>
      <w:r w:rsidR="007738BA" w:rsidRPr="00A84E1C">
        <w:rPr>
          <w:rFonts w:ascii="Garamond" w:eastAsiaTheme="minorEastAsia" w:hAnsi="Garamond" w:cs="Arial"/>
          <w:i/>
          <w:iCs/>
          <w:sz w:val="26"/>
          <w:szCs w:val="26"/>
        </w:rPr>
        <w:t>Responsabile della prevenzione della corruzione e della trasparenza</w:t>
      </w:r>
      <w:r w:rsidR="007738BA" w:rsidRPr="00A84E1C">
        <w:rPr>
          <w:rFonts w:ascii="Garamond" w:eastAsiaTheme="minorEastAsia" w:hAnsi="Garamond" w:cs="Arial"/>
          <w:sz w:val="26"/>
          <w:szCs w:val="26"/>
        </w:rPr>
        <w:t xml:space="preserve"> la dott.ssa Emilia </w:t>
      </w:r>
      <w:r w:rsidR="00185AA9" w:rsidRPr="00A84E1C">
        <w:rPr>
          <w:rFonts w:ascii="Garamond" w:eastAsiaTheme="minorEastAsia" w:hAnsi="Garamond" w:cs="Arial"/>
          <w:sz w:val="26"/>
          <w:szCs w:val="26"/>
        </w:rPr>
        <w:t>Troccoli</w:t>
      </w:r>
      <w:r w:rsidR="00E03E5F" w:rsidRPr="00A84E1C">
        <w:rPr>
          <w:rFonts w:ascii="Garamond" w:eastAsiaTheme="minorEastAsia" w:hAnsi="Garamond" w:cs="Arial"/>
          <w:sz w:val="26"/>
          <w:szCs w:val="26"/>
        </w:rPr>
        <w:t>;</w:t>
      </w:r>
      <w:r w:rsidR="00220355" w:rsidRPr="008E2B66">
        <w:rPr>
          <w:rFonts w:ascii="Garamond" w:eastAsiaTheme="minorEastAsia" w:hAnsi="Garamond" w:cs="Arial"/>
          <w:sz w:val="26"/>
          <w:szCs w:val="26"/>
        </w:rPr>
        <w:t xml:space="preserve"> </w:t>
      </w:r>
    </w:p>
    <w:p w14:paraId="75B0EC70" w14:textId="7AAE2027" w:rsidR="00220355" w:rsidRPr="008E2B66" w:rsidRDefault="00220355" w:rsidP="00FB1853">
      <w:pPr>
        <w:spacing w:after="80" w:line="276" w:lineRule="auto"/>
        <w:jc w:val="both"/>
        <w:rPr>
          <w:rFonts w:ascii="Garamond" w:eastAsiaTheme="minorEastAsia" w:hAnsi="Garamond" w:cs="Arial"/>
          <w:sz w:val="26"/>
          <w:szCs w:val="26"/>
        </w:rPr>
      </w:pPr>
      <w:r w:rsidRPr="008E2B66">
        <w:rPr>
          <w:rFonts w:ascii="Garamond" w:eastAsiaTheme="minorEastAsia" w:hAnsi="Garamond" w:cs="Arial"/>
          <w:sz w:val="26"/>
          <w:szCs w:val="26"/>
        </w:rPr>
        <w:t xml:space="preserve">• </w:t>
      </w:r>
      <w:r w:rsidRPr="00A246AB">
        <w:rPr>
          <w:rFonts w:ascii="Garamond" w:eastAsiaTheme="minorEastAsia" w:hAnsi="Garamond" w:cs="Arial"/>
          <w:i/>
          <w:iCs/>
          <w:sz w:val="26"/>
          <w:szCs w:val="26"/>
        </w:rPr>
        <w:t>Responsabile dell’Anagrafe per la Stazione Appaltante</w:t>
      </w:r>
      <w:r w:rsidRPr="008E2B66">
        <w:rPr>
          <w:rFonts w:ascii="Garamond" w:eastAsiaTheme="minorEastAsia" w:hAnsi="Garamond" w:cs="Arial"/>
          <w:sz w:val="26"/>
          <w:szCs w:val="26"/>
        </w:rPr>
        <w:t xml:space="preserve"> (RASA)</w:t>
      </w:r>
      <w:r w:rsidR="00FB1853" w:rsidRPr="008E2B66">
        <w:rPr>
          <w:rFonts w:ascii="Garamond" w:eastAsiaTheme="minorEastAsia" w:hAnsi="Garamond" w:cs="Arial"/>
          <w:sz w:val="26"/>
          <w:szCs w:val="26"/>
        </w:rPr>
        <w:t>:</w:t>
      </w:r>
      <w:r w:rsidRPr="008E2B66">
        <w:rPr>
          <w:rFonts w:ascii="Garamond" w:eastAsiaTheme="minorEastAsia" w:hAnsi="Garamond" w:cs="Arial"/>
          <w:sz w:val="26"/>
          <w:szCs w:val="26"/>
        </w:rPr>
        <w:t xml:space="preserve"> con </w:t>
      </w:r>
      <w:r w:rsidR="00FB1853" w:rsidRPr="008E2B66">
        <w:rPr>
          <w:rFonts w:ascii="Garamond" w:eastAsiaTheme="minorEastAsia" w:hAnsi="Garamond" w:cs="Arial"/>
          <w:sz w:val="26"/>
          <w:szCs w:val="26"/>
        </w:rPr>
        <w:t>d</w:t>
      </w:r>
      <w:r w:rsidRPr="008E2B66">
        <w:rPr>
          <w:rFonts w:ascii="Garamond" w:eastAsiaTheme="minorEastAsia" w:hAnsi="Garamond" w:cs="Arial"/>
          <w:sz w:val="26"/>
          <w:szCs w:val="26"/>
        </w:rPr>
        <w:t xml:space="preserve">ecreto </w:t>
      </w:r>
      <w:r w:rsidR="0011592C">
        <w:rPr>
          <w:rFonts w:ascii="Garamond" w:eastAsiaTheme="minorEastAsia" w:hAnsi="Garamond" w:cs="Arial"/>
          <w:sz w:val="26"/>
          <w:szCs w:val="26"/>
        </w:rPr>
        <w:t xml:space="preserve">del </w:t>
      </w:r>
      <w:r w:rsidR="00A246AB" w:rsidRPr="00A84E1C">
        <w:rPr>
          <w:rFonts w:ascii="Garamond" w:eastAsiaTheme="minorEastAsia" w:hAnsi="Garamond" w:cs="Arial"/>
          <w:sz w:val="26"/>
          <w:szCs w:val="26"/>
        </w:rPr>
        <w:t>D</w:t>
      </w:r>
      <w:r w:rsidR="0011592C" w:rsidRPr="00A84E1C">
        <w:rPr>
          <w:rFonts w:ascii="Garamond" w:eastAsiaTheme="minorEastAsia" w:hAnsi="Garamond" w:cs="Arial"/>
          <w:sz w:val="26"/>
          <w:szCs w:val="26"/>
        </w:rPr>
        <w:t xml:space="preserve">irettore </w:t>
      </w:r>
      <w:r w:rsidR="00FB1853" w:rsidRPr="00A84E1C">
        <w:rPr>
          <w:rFonts w:ascii="Garamond" w:eastAsiaTheme="minorEastAsia" w:hAnsi="Garamond" w:cs="Arial"/>
          <w:sz w:val="26"/>
          <w:szCs w:val="26"/>
        </w:rPr>
        <w:t>G</w:t>
      </w:r>
      <w:r w:rsidR="0011592C" w:rsidRPr="00A84E1C">
        <w:rPr>
          <w:rFonts w:ascii="Garamond" w:eastAsiaTheme="minorEastAsia" w:hAnsi="Garamond" w:cs="Arial"/>
          <w:sz w:val="26"/>
          <w:szCs w:val="26"/>
        </w:rPr>
        <w:t>enerale</w:t>
      </w:r>
      <w:r w:rsidRPr="008E2B66">
        <w:rPr>
          <w:rFonts w:ascii="Garamond" w:eastAsiaTheme="minorEastAsia" w:hAnsi="Garamond" w:cs="Arial"/>
          <w:sz w:val="26"/>
          <w:szCs w:val="26"/>
        </w:rPr>
        <w:t xml:space="preserve"> n. 8251 del 2</w:t>
      </w:r>
      <w:r w:rsidR="00FB1853" w:rsidRPr="008E2B66">
        <w:rPr>
          <w:rFonts w:ascii="Garamond" w:eastAsiaTheme="minorEastAsia" w:hAnsi="Garamond" w:cs="Arial"/>
          <w:sz w:val="26"/>
          <w:szCs w:val="26"/>
        </w:rPr>
        <w:t xml:space="preserve"> febbraio </w:t>
      </w:r>
      <w:r w:rsidRPr="008E2B66">
        <w:rPr>
          <w:rFonts w:ascii="Garamond" w:eastAsiaTheme="minorEastAsia" w:hAnsi="Garamond" w:cs="Arial"/>
          <w:sz w:val="26"/>
          <w:szCs w:val="26"/>
        </w:rPr>
        <w:t>2022 è stato individuato</w:t>
      </w:r>
      <w:r w:rsidR="0011592C">
        <w:rPr>
          <w:rFonts w:ascii="Garamond" w:eastAsiaTheme="minorEastAsia" w:hAnsi="Garamond" w:cs="Arial"/>
          <w:sz w:val="26"/>
          <w:szCs w:val="26"/>
        </w:rPr>
        <w:t>,</w:t>
      </w:r>
      <w:r w:rsidRPr="008E2B66">
        <w:rPr>
          <w:rFonts w:ascii="Garamond" w:eastAsiaTheme="minorEastAsia" w:hAnsi="Garamond" w:cs="Arial"/>
          <w:sz w:val="26"/>
          <w:szCs w:val="26"/>
        </w:rPr>
        <w:t xml:space="preserve"> nella persona del Dott. Luigi Giuseppe Barreca con decorrenza in pari data. </w:t>
      </w:r>
    </w:p>
    <w:p w14:paraId="568E5D03" w14:textId="77777777" w:rsidR="007B6EC1" w:rsidRPr="008E2B66" w:rsidRDefault="007B6EC1" w:rsidP="007B6EC1">
      <w:pPr>
        <w:spacing w:after="120" w:line="360" w:lineRule="auto"/>
        <w:jc w:val="both"/>
        <w:rPr>
          <w:rFonts w:ascii="Garamond" w:eastAsiaTheme="minorEastAsia" w:hAnsi="Garamond" w:cs="Arial"/>
          <w:sz w:val="26"/>
          <w:szCs w:val="26"/>
        </w:rPr>
      </w:pPr>
    </w:p>
    <w:p w14:paraId="5D1D3D40" w14:textId="2EEBD598" w:rsidR="007B6EC1" w:rsidRPr="008E2B66" w:rsidRDefault="007B6EC1" w:rsidP="004F15F3">
      <w:pPr>
        <w:spacing w:after="120" w:line="276" w:lineRule="auto"/>
        <w:jc w:val="both"/>
        <w:rPr>
          <w:rFonts w:ascii="Garamond" w:eastAsiaTheme="minorEastAsia" w:hAnsi="Garamond" w:cs="Arial"/>
          <w:b/>
          <w:bCs/>
          <w:sz w:val="26"/>
          <w:szCs w:val="26"/>
        </w:rPr>
      </w:pPr>
      <w:r w:rsidRPr="00A84E1C">
        <w:rPr>
          <w:rFonts w:ascii="Garamond" w:eastAsiaTheme="minorEastAsia" w:hAnsi="Garamond" w:cs="Arial"/>
          <w:b/>
          <w:bCs/>
          <w:sz w:val="26"/>
          <w:szCs w:val="26"/>
        </w:rPr>
        <w:t xml:space="preserve">I </w:t>
      </w:r>
      <w:r w:rsidR="0011592C" w:rsidRPr="00A84E1C">
        <w:rPr>
          <w:rFonts w:ascii="Garamond" w:eastAsiaTheme="minorEastAsia" w:hAnsi="Garamond" w:cs="Arial"/>
          <w:b/>
          <w:bCs/>
          <w:sz w:val="26"/>
          <w:szCs w:val="26"/>
        </w:rPr>
        <w:t>R</w:t>
      </w:r>
      <w:r w:rsidRPr="00A84E1C">
        <w:rPr>
          <w:rFonts w:ascii="Garamond" w:eastAsiaTheme="minorEastAsia" w:hAnsi="Garamond" w:cs="Arial"/>
          <w:b/>
          <w:bCs/>
          <w:sz w:val="26"/>
          <w:szCs w:val="26"/>
        </w:rPr>
        <w:t>eferenti per la prevenzione</w:t>
      </w:r>
      <w:r w:rsidR="00EB6F38" w:rsidRPr="00A84E1C">
        <w:rPr>
          <w:rFonts w:ascii="Garamond" w:eastAsiaTheme="minorEastAsia" w:hAnsi="Garamond" w:cs="Arial"/>
          <w:b/>
          <w:bCs/>
          <w:sz w:val="26"/>
          <w:szCs w:val="26"/>
        </w:rPr>
        <w:t xml:space="preserve"> </w:t>
      </w:r>
    </w:p>
    <w:p w14:paraId="2FE0D6D5" w14:textId="2007097F" w:rsidR="00EB6F38" w:rsidRPr="008E2B66" w:rsidRDefault="00EB6F38" w:rsidP="00EB6F38">
      <w:pPr>
        <w:spacing w:after="80" w:line="276" w:lineRule="auto"/>
        <w:jc w:val="both"/>
        <w:rPr>
          <w:rFonts w:ascii="Garamond" w:eastAsiaTheme="minorEastAsia" w:hAnsi="Garamond" w:cs="Arial"/>
          <w:sz w:val="26"/>
          <w:szCs w:val="26"/>
        </w:rPr>
      </w:pPr>
      <w:r w:rsidRPr="008E2B66">
        <w:rPr>
          <w:rFonts w:ascii="Garamond" w:eastAsiaTheme="minorEastAsia" w:hAnsi="Garamond" w:cs="Arial"/>
          <w:sz w:val="26"/>
          <w:szCs w:val="26"/>
        </w:rPr>
        <w:t xml:space="preserve">Il </w:t>
      </w:r>
      <w:r w:rsidRPr="00CF04F0">
        <w:rPr>
          <w:rFonts w:ascii="Garamond" w:eastAsiaTheme="minorEastAsia" w:hAnsi="Garamond" w:cs="Arial"/>
          <w:i/>
          <w:iCs/>
          <w:sz w:val="26"/>
          <w:szCs w:val="26"/>
        </w:rPr>
        <w:t>Regolamento di Organizzazione e Funzionamento</w:t>
      </w:r>
      <w:r w:rsidRPr="008E2B66">
        <w:rPr>
          <w:rFonts w:ascii="Garamond" w:eastAsiaTheme="minorEastAsia" w:hAnsi="Garamond" w:cs="Arial"/>
          <w:sz w:val="26"/>
          <w:szCs w:val="26"/>
        </w:rPr>
        <w:t xml:space="preserve"> dell’Ente (delibera Cd</w:t>
      </w:r>
      <w:r w:rsidR="006257A6">
        <w:rPr>
          <w:rFonts w:ascii="Garamond" w:eastAsiaTheme="minorEastAsia" w:hAnsi="Garamond" w:cs="Arial"/>
          <w:sz w:val="26"/>
          <w:szCs w:val="26"/>
        </w:rPr>
        <w:t>a</w:t>
      </w:r>
      <w:r w:rsidRPr="008E2B66">
        <w:rPr>
          <w:rFonts w:ascii="Garamond" w:eastAsiaTheme="minorEastAsia" w:hAnsi="Garamond" w:cs="Arial"/>
          <w:sz w:val="26"/>
          <w:szCs w:val="26"/>
        </w:rPr>
        <w:t xml:space="preserve"> n. 111</w:t>
      </w:r>
      <w:r w:rsidR="00CF04F0">
        <w:rPr>
          <w:rFonts w:ascii="Garamond" w:eastAsiaTheme="minorEastAsia" w:hAnsi="Garamond" w:cs="Arial"/>
          <w:sz w:val="26"/>
          <w:szCs w:val="26"/>
        </w:rPr>
        <w:t>/</w:t>
      </w:r>
      <w:r w:rsidRPr="008E2B66">
        <w:rPr>
          <w:rFonts w:ascii="Garamond" w:eastAsiaTheme="minorEastAsia" w:hAnsi="Garamond" w:cs="Arial"/>
          <w:sz w:val="26"/>
          <w:szCs w:val="26"/>
        </w:rPr>
        <w:t>2022 del 12</w:t>
      </w:r>
      <w:r w:rsidR="00CF04F0">
        <w:rPr>
          <w:rFonts w:ascii="Garamond" w:eastAsiaTheme="minorEastAsia" w:hAnsi="Garamond" w:cs="Arial"/>
          <w:sz w:val="26"/>
          <w:szCs w:val="26"/>
        </w:rPr>
        <w:t xml:space="preserve"> ottobre </w:t>
      </w:r>
      <w:r w:rsidRPr="008E2B66">
        <w:rPr>
          <w:rFonts w:ascii="Garamond" w:eastAsiaTheme="minorEastAsia" w:hAnsi="Garamond" w:cs="Arial"/>
          <w:sz w:val="26"/>
          <w:szCs w:val="26"/>
        </w:rPr>
        <w:t xml:space="preserve">2022) delinea la struttura amministrativa del CREA, articolata nell’Amministrazione centrale, </w:t>
      </w:r>
      <w:r w:rsidRPr="008E2B66">
        <w:rPr>
          <w:rFonts w:ascii="Garamond" w:eastAsiaTheme="minorEastAsia" w:hAnsi="Garamond" w:cs="Arial"/>
          <w:sz w:val="26"/>
          <w:szCs w:val="26"/>
        </w:rPr>
        <w:lastRenderedPageBreak/>
        <w:t>costituita dalla Direzione Generale con i suoi Uffici, e nei Servizi amministrativi dei Centri di ricerca.</w:t>
      </w:r>
    </w:p>
    <w:p w14:paraId="5F9E694B" w14:textId="77777777" w:rsidR="00EB6F38" w:rsidRPr="008E2B66" w:rsidRDefault="00EB6F38" w:rsidP="00EB6F38">
      <w:pPr>
        <w:spacing w:after="80" w:line="276" w:lineRule="auto"/>
        <w:jc w:val="both"/>
        <w:rPr>
          <w:rFonts w:ascii="Garamond" w:eastAsiaTheme="minorEastAsia" w:hAnsi="Garamond" w:cs="Arial"/>
          <w:sz w:val="26"/>
          <w:szCs w:val="26"/>
        </w:rPr>
      </w:pPr>
      <w:r w:rsidRPr="008E2B66">
        <w:rPr>
          <w:rFonts w:ascii="Garamond" w:eastAsiaTheme="minorEastAsia" w:hAnsi="Garamond" w:cs="Arial"/>
          <w:sz w:val="26"/>
          <w:szCs w:val="26"/>
        </w:rPr>
        <w:t xml:space="preserve">La gestione dell’Ente, di competenza della Direzione Generale, prevede due Uffici dirigenziali di livello generale. </w:t>
      </w:r>
    </w:p>
    <w:p w14:paraId="5B3A39C3" w14:textId="01DC4776" w:rsidR="00EB6F38" w:rsidRPr="008E2B66" w:rsidRDefault="0011592C" w:rsidP="00EB6F38">
      <w:pPr>
        <w:spacing w:after="80" w:line="276" w:lineRule="auto"/>
        <w:jc w:val="both"/>
        <w:rPr>
          <w:rFonts w:ascii="Garamond" w:eastAsiaTheme="minorEastAsia" w:hAnsi="Garamond" w:cs="Arial"/>
          <w:sz w:val="26"/>
          <w:szCs w:val="26"/>
        </w:rPr>
      </w:pPr>
      <w:r w:rsidRPr="00B77F21">
        <w:rPr>
          <w:rFonts w:ascii="Garamond" w:eastAsiaTheme="minorEastAsia" w:hAnsi="Garamond" w:cs="Arial"/>
          <w:sz w:val="26"/>
          <w:szCs w:val="26"/>
        </w:rPr>
        <w:t xml:space="preserve">I </w:t>
      </w:r>
      <w:r w:rsidR="00EB6F38" w:rsidRPr="00B77F21">
        <w:rPr>
          <w:rFonts w:ascii="Garamond" w:eastAsiaTheme="minorEastAsia" w:hAnsi="Garamond" w:cs="Arial"/>
          <w:sz w:val="26"/>
          <w:szCs w:val="26"/>
        </w:rPr>
        <w:t xml:space="preserve">Referenti per la prevenzione </w:t>
      </w:r>
      <w:r w:rsidR="00CF04F0" w:rsidRPr="00B77F21">
        <w:rPr>
          <w:rFonts w:ascii="Garamond" w:eastAsiaTheme="minorEastAsia" w:hAnsi="Garamond" w:cs="Arial"/>
          <w:sz w:val="26"/>
          <w:szCs w:val="26"/>
        </w:rPr>
        <w:t xml:space="preserve">della </w:t>
      </w:r>
      <w:r w:rsidRPr="00B77F21">
        <w:rPr>
          <w:rFonts w:ascii="Garamond" w:eastAsiaTheme="minorEastAsia" w:hAnsi="Garamond" w:cs="Arial"/>
          <w:sz w:val="26"/>
          <w:szCs w:val="26"/>
        </w:rPr>
        <w:t>corruzione</w:t>
      </w:r>
      <w:r>
        <w:rPr>
          <w:rFonts w:ascii="Garamond" w:eastAsiaTheme="minorEastAsia" w:hAnsi="Garamond" w:cs="Arial"/>
          <w:sz w:val="26"/>
          <w:szCs w:val="26"/>
        </w:rPr>
        <w:t xml:space="preserve"> s</w:t>
      </w:r>
      <w:r w:rsidR="00EB6F38" w:rsidRPr="008E2B66">
        <w:rPr>
          <w:rFonts w:ascii="Garamond" w:eastAsiaTheme="minorEastAsia" w:hAnsi="Garamond" w:cs="Arial"/>
          <w:sz w:val="26"/>
          <w:szCs w:val="26"/>
        </w:rPr>
        <w:t>ono, quindi:</w:t>
      </w:r>
    </w:p>
    <w:p w14:paraId="63C6CDAC" w14:textId="20C197C6" w:rsidR="00EB6F38" w:rsidRPr="008E2B66" w:rsidRDefault="00EB6F38" w:rsidP="00B8265F">
      <w:pPr>
        <w:pStyle w:val="Paragrafoelenco"/>
        <w:numPr>
          <w:ilvl w:val="0"/>
          <w:numId w:val="22"/>
        </w:numPr>
        <w:spacing w:after="80" w:line="276" w:lineRule="auto"/>
        <w:jc w:val="both"/>
        <w:rPr>
          <w:rFonts w:ascii="Garamond" w:eastAsiaTheme="minorEastAsia" w:hAnsi="Garamond" w:cs="Arial"/>
          <w:sz w:val="26"/>
          <w:szCs w:val="26"/>
        </w:rPr>
      </w:pPr>
      <w:r w:rsidRPr="008E2B66">
        <w:rPr>
          <w:rFonts w:ascii="Garamond" w:eastAsiaTheme="minorEastAsia" w:hAnsi="Garamond" w:cs="Arial"/>
          <w:sz w:val="26"/>
          <w:szCs w:val="26"/>
        </w:rPr>
        <w:t xml:space="preserve">per la </w:t>
      </w:r>
      <w:r w:rsidRPr="00CF04F0">
        <w:rPr>
          <w:rFonts w:ascii="Garamond" w:eastAsiaTheme="minorEastAsia" w:hAnsi="Garamond" w:cs="Arial"/>
          <w:i/>
          <w:iCs/>
          <w:sz w:val="26"/>
          <w:szCs w:val="26"/>
        </w:rPr>
        <w:t xml:space="preserve">Direzione </w:t>
      </w:r>
      <w:r w:rsidR="005F2793">
        <w:rPr>
          <w:rFonts w:ascii="Garamond" w:eastAsiaTheme="minorEastAsia" w:hAnsi="Garamond" w:cs="Arial"/>
          <w:i/>
          <w:iCs/>
          <w:sz w:val="26"/>
          <w:szCs w:val="26"/>
        </w:rPr>
        <w:t>G</w:t>
      </w:r>
      <w:r w:rsidRPr="00CF04F0">
        <w:rPr>
          <w:rFonts w:ascii="Garamond" w:eastAsiaTheme="minorEastAsia" w:hAnsi="Garamond" w:cs="Arial"/>
          <w:i/>
          <w:iCs/>
          <w:sz w:val="26"/>
          <w:szCs w:val="26"/>
        </w:rPr>
        <w:t>enerale</w:t>
      </w:r>
      <w:r w:rsidRPr="008E2B66">
        <w:rPr>
          <w:rFonts w:ascii="Garamond" w:eastAsiaTheme="minorEastAsia" w:hAnsi="Garamond" w:cs="Arial"/>
          <w:sz w:val="26"/>
          <w:szCs w:val="26"/>
        </w:rPr>
        <w:t xml:space="preserve">: la dott.ssa Maria Chiara Zaganelli, a cui il Presidente del CREA con decreto n. 94867 del 30 ottobre 2024 ha conferito l’incarico di </w:t>
      </w:r>
      <w:r w:rsidRPr="0011592C">
        <w:rPr>
          <w:rFonts w:ascii="Garamond" w:eastAsiaTheme="minorEastAsia" w:hAnsi="Garamond" w:cs="Arial"/>
          <w:sz w:val="26"/>
          <w:szCs w:val="26"/>
        </w:rPr>
        <w:t>Dire</w:t>
      </w:r>
      <w:r w:rsidR="0011592C" w:rsidRPr="0011592C">
        <w:rPr>
          <w:rFonts w:ascii="Garamond" w:eastAsiaTheme="minorEastAsia" w:hAnsi="Garamond" w:cs="Arial"/>
          <w:sz w:val="26"/>
          <w:szCs w:val="26"/>
        </w:rPr>
        <w:t>ttor</w:t>
      </w:r>
      <w:r w:rsidR="0011592C">
        <w:rPr>
          <w:rFonts w:ascii="Garamond" w:eastAsiaTheme="minorEastAsia" w:hAnsi="Garamond" w:cs="Arial"/>
          <w:sz w:val="26"/>
          <w:szCs w:val="26"/>
        </w:rPr>
        <w:t>e</w:t>
      </w:r>
      <w:r w:rsidRPr="008E2B66">
        <w:rPr>
          <w:rFonts w:ascii="Garamond" w:eastAsiaTheme="minorEastAsia" w:hAnsi="Garamond" w:cs="Arial"/>
          <w:sz w:val="26"/>
          <w:szCs w:val="26"/>
        </w:rPr>
        <w:t xml:space="preserve"> Generale dell’Ente;</w:t>
      </w:r>
    </w:p>
    <w:p w14:paraId="5CCD2589" w14:textId="23DEEB08" w:rsidR="00EB6F38" w:rsidRPr="008E2B66" w:rsidRDefault="00EB6F38" w:rsidP="00B8265F">
      <w:pPr>
        <w:pStyle w:val="Paragrafoelenco"/>
        <w:numPr>
          <w:ilvl w:val="0"/>
          <w:numId w:val="22"/>
        </w:numPr>
        <w:spacing w:after="80" w:line="276" w:lineRule="auto"/>
        <w:jc w:val="both"/>
        <w:rPr>
          <w:rFonts w:ascii="Garamond" w:eastAsiaTheme="minorEastAsia" w:hAnsi="Garamond" w:cs="Arial"/>
          <w:sz w:val="26"/>
          <w:szCs w:val="26"/>
        </w:rPr>
      </w:pPr>
      <w:r w:rsidRPr="008E2B66">
        <w:rPr>
          <w:rFonts w:ascii="Garamond" w:eastAsiaTheme="minorEastAsia" w:hAnsi="Garamond" w:cs="Arial"/>
          <w:sz w:val="26"/>
          <w:szCs w:val="26"/>
        </w:rPr>
        <w:t xml:space="preserve">per la </w:t>
      </w:r>
      <w:r w:rsidRPr="00CF04F0">
        <w:rPr>
          <w:rFonts w:ascii="Garamond" w:eastAsiaTheme="minorEastAsia" w:hAnsi="Garamond" w:cs="Arial"/>
          <w:i/>
          <w:iCs/>
          <w:sz w:val="26"/>
          <w:szCs w:val="26"/>
        </w:rPr>
        <w:t xml:space="preserve">Direzione dei </w:t>
      </w:r>
      <w:r w:rsidR="005F2793">
        <w:rPr>
          <w:rFonts w:ascii="Garamond" w:eastAsiaTheme="minorEastAsia" w:hAnsi="Garamond" w:cs="Arial"/>
          <w:i/>
          <w:iCs/>
          <w:sz w:val="26"/>
          <w:szCs w:val="26"/>
        </w:rPr>
        <w:t>S</w:t>
      </w:r>
      <w:r w:rsidRPr="00CF04F0">
        <w:rPr>
          <w:rFonts w:ascii="Garamond" w:eastAsiaTheme="minorEastAsia" w:hAnsi="Garamond" w:cs="Arial"/>
          <w:i/>
          <w:iCs/>
          <w:sz w:val="26"/>
          <w:szCs w:val="26"/>
        </w:rPr>
        <w:t xml:space="preserve">ervizi </w:t>
      </w:r>
      <w:r w:rsidR="005F2793">
        <w:rPr>
          <w:rFonts w:ascii="Garamond" w:eastAsiaTheme="minorEastAsia" w:hAnsi="Garamond" w:cs="Arial"/>
          <w:i/>
          <w:iCs/>
          <w:sz w:val="26"/>
          <w:szCs w:val="26"/>
        </w:rPr>
        <w:t>A</w:t>
      </w:r>
      <w:r w:rsidRPr="00CF04F0">
        <w:rPr>
          <w:rFonts w:ascii="Garamond" w:eastAsiaTheme="minorEastAsia" w:hAnsi="Garamond" w:cs="Arial"/>
          <w:i/>
          <w:iCs/>
          <w:sz w:val="26"/>
          <w:szCs w:val="26"/>
        </w:rPr>
        <w:t>mministrativi</w:t>
      </w:r>
      <w:r w:rsidRPr="008E2B66">
        <w:rPr>
          <w:rFonts w:ascii="Garamond" w:eastAsiaTheme="minorEastAsia" w:hAnsi="Garamond" w:cs="Arial"/>
          <w:sz w:val="26"/>
          <w:szCs w:val="26"/>
        </w:rPr>
        <w:t xml:space="preserve">, con funzioni di direzione, di supporto e coordinamento della gestione amministrativa e contabile dell’Ente: la dott.ssa Laura Proietti, </w:t>
      </w:r>
      <w:r w:rsidR="006257A6">
        <w:rPr>
          <w:rFonts w:ascii="Garamond" w:eastAsiaTheme="minorEastAsia" w:hAnsi="Garamond" w:cs="Arial"/>
          <w:sz w:val="26"/>
          <w:szCs w:val="26"/>
        </w:rPr>
        <w:t>D</w:t>
      </w:r>
      <w:r w:rsidRPr="008E2B66">
        <w:rPr>
          <w:rFonts w:ascii="Garamond" w:eastAsiaTheme="minorEastAsia" w:hAnsi="Garamond" w:cs="Arial"/>
          <w:sz w:val="26"/>
          <w:szCs w:val="26"/>
        </w:rPr>
        <w:t xml:space="preserve">irigente di I fascia, a cui con decreto </w:t>
      </w:r>
      <w:r w:rsidR="00B77F21">
        <w:rPr>
          <w:rFonts w:ascii="Garamond" w:eastAsiaTheme="minorEastAsia" w:hAnsi="Garamond" w:cs="Arial"/>
          <w:sz w:val="26"/>
          <w:szCs w:val="26"/>
        </w:rPr>
        <w:t xml:space="preserve">del </w:t>
      </w:r>
      <w:r w:rsidRPr="008E2B66">
        <w:rPr>
          <w:rFonts w:ascii="Garamond" w:eastAsiaTheme="minorEastAsia" w:hAnsi="Garamond" w:cs="Arial"/>
          <w:sz w:val="26"/>
          <w:szCs w:val="26"/>
        </w:rPr>
        <w:t>D</w:t>
      </w:r>
      <w:r w:rsidR="00B77F21">
        <w:rPr>
          <w:rFonts w:ascii="Garamond" w:eastAsiaTheme="minorEastAsia" w:hAnsi="Garamond" w:cs="Arial"/>
          <w:sz w:val="26"/>
          <w:szCs w:val="26"/>
        </w:rPr>
        <w:t xml:space="preserve">irettore </w:t>
      </w:r>
      <w:r w:rsidRPr="008E2B66">
        <w:rPr>
          <w:rFonts w:ascii="Garamond" w:eastAsiaTheme="minorEastAsia" w:hAnsi="Garamond" w:cs="Arial"/>
          <w:sz w:val="26"/>
          <w:szCs w:val="26"/>
        </w:rPr>
        <w:t>G</w:t>
      </w:r>
      <w:r w:rsidR="00B77F21">
        <w:rPr>
          <w:rFonts w:ascii="Garamond" w:eastAsiaTheme="minorEastAsia" w:hAnsi="Garamond" w:cs="Arial"/>
          <w:sz w:val="26"/>
          <w:szCs w:val="26"/>
        </w:rPr>
        <w:t>enerale</w:t>
      </w:r>
      <w:r w:rsidRPr="008E2B66">
        <w:rPr>
          <w:rFonts w:ascii="Garamond" w:eastAsiaTheme="minorEastAsia" w:hAnsi="Garamond" w:cs="Arial"/>
          <w:sz w:val="26"/>
          <w:szCs w:val="26"/>
        </w:rPr>
        <w:t xml:space="preserve"> n. 50912 del 29 maggio 2023 e</w:t>
      </w:r>
      <w:r w:rsidR="00CF04F0">
        <w:rPr>
          <w:rFonts w:ascii="Garamond" w:eastAsiaTheme="minorEastAsia" w:hAnsi="Garamond" w:cs="Arial"/>
          <w:sz w:val="26"/>
          <w:szCs w:val="26"/>
        </w:rPr>
        <w:t>, successivamente</w:t>
      </w:r>
      <w:r w:rsidRPr="008E2B66">
        <w:rPr>
          <w:rFonts w:ascii="Garamond" w:eastAsiaTheme="minorEastAsia" w:hAnsi="Garamond" w:cs="Arial"/>
          <w:sz w:val="26"/>
          <w:szCs w:val="26"/>
        </w:rPr>
        <w:t xml:space="preserve"> con decreto </w:t>
      </w:r>
      <w:r w:rsidR="0011592C">
        <w:rPr>
          <w:rFonts w:ascii="Garamond" w:eastAsiaTheme="minorEastAsia" w:hAnsi="Garamond" w:cs="Arial"/>
          <w:sz w:val="26"/>
          <w:szCs w:val="26"/>
        </w:rPr>
        <w:t xml:space="preserve">del </w:t>
      </w:r>
      <w:r w:rsidRPr="008E2B66">
        <w:rPr>
          <w:rFonts w:ascii="Garamond" w:eastAsiaTheme="minorEastAsia" w:hAnsi="Garamond" w:cs="Arial"/>
          <w:sz w:val="26"/>
          <w:szCs w:val="26"/>
        </w:rPr>
        <w:t>D</w:t>
      </w:r>
      <w:r w:rsidR="0011592C">
        <w:rPr>
          <w:rFonts w:ascii="Garamond" w:eastAsiaTheme="minorEastAsia" w:hAnsi="Garamond" w:cs="Arial"/>
          <w:sz w:val="26"/>
          <w:szCs w:val="26"/>
        </w:rPr>
        <w:t xml:space="preserve">irettore </w:t>
      </w:r>
      <w:r w:rsidRPr="008E2B66">
        <w:rPr>
          <w:rFonts w:ascii="Garamond" w:eastAsiaTheme="minorEastAsia" w:hAnsi="Garamond" w:cs="Arial"/>
          <w:sz w:val="26"/>
          <w:szCs w:val="26"/>
        </w:rPr>
        <w:t>G</w:t>
      </w:r>
      <w:r w:rsidR="0011592C">
        <w:rPr>
          <w:rFonts w:ascii="Garamond" w:eastAsiaTheme="minorEastAsia" w:hAnsi="Garamond" w:cs="Arial"/>
          <w:sz w:val="26"/>
          <w:szCs w:val="26"/>
        </w:rPr>
        <w:t>enerale</w:t>
      </w:r>
      <w:r w:rsidRPr="008E2B66">
        <w:rPr>
          <w:rFonts w:ascii="Garamond" w:eastAsiaTheme="minorEastAsia" w:hAnsi="Garamond" w:cs="Arial"/>
          <w:sz w:val="26"/>
          <w:szCs w:val="26"/>
        </w:rPr>
        <w:t xml:space="preserve"> n. 49705 del 30 giugno 2025 veniva conferito l’incarico di </w:t>
      </w:r>
      <w:r w:rsidR="006257A6">
        <w:rPr>
          <w:rFonts w:ascii="Garamond" w:eastAsiaTheme="minorEastAsia" w:hAnsi="Garamond" w:cs="Arial"/>
          <w:sz w:val="26"/>
          <w:szCs w:val="26"/>
        </w:rPr>
        <w:t>D</w:t>
      </w:r>
      <w:r w:rsidRPr="008E2B66">
        <w:rPr>
          <w:rFonts w:ascii="Garamond" w:eastAsiaTheme="minorEastAsia" w:hAnsi="Garamond" w:cs="Arial"/>
          <w:sz w:val="26"/>
          <w:szCs w:val="26"/>
        </w:rPr>
        <w:t xml:space="preserve">irigente della </w:t>
      </w:r>
      <w:r w:rsidRPr="00CF04F0">
        <w:rPr>
          <w:rFonts w:ascii="Garamond" w:eastAsiaTheme="minorEastAsia" w:hAnsi="Garamond" w:cs="Arial"/>
          <w:i/>
          <w:iCs/>
          <w:sz w:val="26"/>
          <w:szCs w:val="26"/>
        </w:rPr>
        <w:t>Direzione dei Servizi Amministrativi</w:t>
      </w:r>
      <w:r w:rsidRPr="008E2B66">
        <w:rPr>
          <w:rFonts w:ascii="Garamond" w:eastAsiaTheme="minorEastAsia" w:hAnsi="Garamond" w:cs="Arial"/>
          <w:sz w:val="26"/>
          <w:szCs w:val="26"/>
        </w:rPr>
        <w:t xml:space="preserve"> del CREA;</w:t>
      </w:r>
    </w:p>
    <w:p w14:paraId="53C9CBFA" w14:textId="01888284" w:rsidR="0011592C" w:rsidRDefault="00EB6F38" w:rsidP="00820ACB">
      <w:pPr>
        <w:pStyle w:val="Paragrafoelenco"/>
        <w:numPr>
          <w:ilvl w:val="0"/>
          <w:numId w:val="22"/>
        </w:numPr>
        <w:spacing w:after="80" w:line="276" w:lineRule="auto"/>
        <w:jc w:val="both"/>
        <w:rPr>
          <w:rFonts w:ascii="Garamond" w:eastAsiaTheme="minorEastAsia" w:hAnsi="Garamond" w:cs="Arial"/>
          <w:sz w:val="26"/>
          <w:szCs w:val="26"/>
        </w:rPr>
      </w:pPr>
      <w:r w:rsidRPr="0011592C">
        <w:rPr>
          <w:rFonts w:ascii="Garamond" w:eastAsiaTheme="minorEastAsia" w:hAnsi="Garamond" w:cs="Arial"/>
          <w:sz w:val="26"/>
          <w:szCs w:val="26"/>
        </w:rPr>
        <w:t xml:space="preserve">per la </w:t>
      </w:r>
      <w:r w:rsidRPr="0011592C">
        <w:rPr>
          <w:rFonts w:ascii="Garamond" w:eastAsiaTheme="minorEastAsia" w:hAnsi="Garamond" w:cs="Arial"/>
          <w:i/>
          <w:iCs/>
          <w:sz w:val="26"/>
          <w:szCs w:val="26"/>
        </w:rPr>
        <w:t>Direzione tecnico-scientifica</w:t>
      </w:r>
      <w:r w:rsidR="00CF04F0" w:rsidRPr="0011592C">
        <w:rPr>
          <w:rFonts w:ascii="Garamond" w:eastAsiaTheme="minorEastAsia" w:hAnsi="Garamond" w:cs="Arial"/>
          <w:sz w:val="26"/>
          <w:szCs w:val="26"/>
        </w:rPr>
        <w:t xml:space="preserve"> - </w:t>
      </w:r>
      <w:r w:rsidRPr="0011592C">
        <w:rPr>
          <w:rFonts w:ascii="Garamond" w:eastAsiaTheme="minorEastAsia" w:hAnsi="Garamond" w:cs="Arial"/>
          <w:sz w:val="26"/>
          <w:szCs w:val="26"/>
        </w:rPr>
        <w:t>avente compiti di raccordo tra gli indirizzi definiti dal Presidente, dal Consiglio di amministrazione, dal Consiglio Scientifico e dai Centri di ricerca dell’Ente e di supporto tecnico scientifico e progettuale ai Centri di ricerca</w:t>
      </w:r>
      <w:r w:rsidR="006257A6">
        <w:rPr>
          <w:rFonts w:ascii="Garamond" w:eastAsiaTheme="minorEastAsia" w:hAnsi="Garamond" w:cs="Arial"/>
          <w:sz w:val="26"/>
          <w:szCs w:val="26"/>
        </w:rPr>
        <w:t xml:space="preserve"> -</w:t>
      </w:r>
      <w:r w:rsidR="0011592C" w:rsidRPr="0011592C">
        <w:rPr>
          <w:rFonts w:ascii="Garamond" w:eastAsiaTheme="minorEastAsia" w:hAnsi="Garamond" w:cs="Arial"/>
          <w:sz w:val="26"/>
          <w:szCs w:val="26"/>
        </w:rPr>
        <w:t xml:space="preserve"> il responsabile, </w:t>
      </w:r>
      <w:r w:rsidRPr="0011592C">
        <w:rPr>
          <w:rFonts w:ascii="Garamond" w:eastAsiaTheme="minorEastAsia" w:hAnsi="Garamond" w:cs="Arial"/>
          <w:sz w:val="26"/>
          <w:szCs w:val="26"/>
        </w:rPr>
        <w:t>Prof. Alberto Cavazzini</w:t>
      </w:r>
      <w:r w:rsidR="006257A6">
        <w:rPr>
          <w:rFonts w:ascii="Garamond" w:eastAsiaTheme="minorEastAsia" w:hAnsi="Garamond" w:cs="Arial"/>
          <w:sz w:val="26"/>
          <w:szCs w:val="26"/>
        </w:rPr>
        <w:t>,</w:t>
      </w:r>
      <w:r w:rsidR="0011592C" w:rsidRPr="0011592C">
        <w:rPr>
          <w:rFonts w:ascii="Garamond" w:eastAsiaTheme="minorEastAsia" w:hAnsi="Garamond" w:cs="Arial"/>
          <w:sz w:val="26"/>
          <w:szCs w:val="26"/>
        </w:rPr>
        <w:t xml:space="preserve"> </w:t>
      </w:r>
      <w:r w:rsidR="00CF04F0" w:rsidRPr="0011592C">
        <w:rPr>
          <w:rFonts w:ascii="Garamond" w:eastAsiaTheme="minorEastAsia" w:hAnsi="Garamond" w:cs="Arial"/>
          <w:sz w:val="26"/>
          <w:szCs w:val="26"/>
        </w:rPr>
        <w:t>P</w:t>
      </w:r>
      <w:r w:rsidRPr="0011592C">
        <w:rPr>
          <w:rFonts w:ascii="Garamond" w:eastAsiaTheme="minorEastAsia" w:hAnsi="Garamond" w:cs="Arial"/>
          <w:sz w:val="26"/>
          <w:szCs w:val="26"/>
        </w:rPr>
        <w:t>rofessore ordinario presso l’Università degli studi di Ferrara, nominato dal Presidente del CREA con decreto n. 57774 del 19 giugno 2023</w:t>
      </w:r>
      <w:r w:rsidR="005F2793">
        <w:rPr>
          <w:rFonts w:ascii="Garamond" w:eastAsiaTheme="minorEastAsia" w:hAnsi="Garamond" w:cs="Arial"/>
          <w:sz w:val="26"/>
          <w:szCs w:val="26"/>
        </w:rPr>
        <w:t>.</w:t>
      </w:r>
    </w:p>
    <w:p w14:paraId="59522238" w14:textId="23337DBD" w:rsidR="00EB6F38" w:rsidRPr="0011592C" w:rsidRDefault="00EB6F38" w:rsidP="0011592C">
      <w:pPr>
        <w:spacing w:after="80" w:line="276" w:lineRule="auto"/>
        <w:ind w:left="360"/>
        <w:jc w:val="both"/>
        <w:rPr>
          <w:rFonts w:ascii="Garamond" w:eastAsiaTheme="minorEastAsia" w:hAnsi="Garamond" w:cs="Arial"/>
          <w:sz w:val="26"/>
          <w:szCs w:val="26"/>
        </w:rPr>
      </w:pPr>
      <w:r w:rsidRPr="0011592C">
        <w:rPr>
          <w:rFonts w:ascii="Garamond" w:eastAsiaTheme="minorEastAsia" w:hAnsi="Garamond" w:cs="Arial"/>
          <w:sz w:val="26"/>
          <w:szCs w:val="26"/>
        </w:rPr>
        <w:t>La delibera n. 69</w:t>
      </w:r>
      <w:r w:rsidR="0011592C">
        <w:rPr>
          <w:rFonts w:ascii="Garamond" w:eastAsiaTheme="minorEastAsia" w:hAnsi="Garamond" w:cs="Arial"/>
          <w:sz w:val="26"/>
          <w:szCs w:val="26"/>
        </w:rPr>
        <w:t>/</w:t>
      </w:r>
      <w:r w:rsidRPr="0011592C">
        <w:rPr>
          <w:rFonts w:ascii="Garamond" w:eastAsiaTheme="minorEastAsia" w:hAnsi="Garamond" w:cs="Arial"/>
          <w:sz w:val="26"/>
          <w:szCs w:val="26"/>
        </w:rPr>
        <w:t xml:space="preserve">2025 del Consiglio di amministrazione del 26 giugno 2025, ha apportato una temporanea modifica dell’attuale articolazione della Direzione generale mediante la previsione di una articolazione organizzativa di livello generale per il conferimento di un incarico di </w:t>
      </w:r>
      <w:r w:rsidR="0052520D" w:rsidRPr="0011592C">
        <w:rPr>
          <w:rFonts w:ascii="Garamond" w:eastAsiaTheme="minorEastAsia" w:hAnsi="Garamond" w:cs="Arial"/>
          <w:i/>
          <w:iCs/>
          <w:sz w:val="26"/>
          <w:szCs w:val="26"/>
        </w:rPr>
        <w:t>D</w:t>
      </w:r>
      <w:r w:rsidRPr="0011592C">
        <w:rPr>
          <w:rFonts w:ascii="Garamond" w:eastAsiaTheme="minorEastAsia" w:hAnsi="Garamond" w:cs="Arial"/>
          <w:i/>
          <w:iCs/>
          <w:sz w:val="26"/>
          <w:szCs w:val="26"/>
        </w:rPr>
        <w:t xml:space="preserve">irigente </w:t>
      </w:r>
      <w:r w:rsidR="005F2793">
        <w:rPr>
          <w:rFonts w:ascii="Garamond" w:eastAsiaTheme="minorEastAsia" w:hAnsi="Garamond" w:cs="Arial"/>
          <w:i/>
          <w:iCs/>
          <w:sz w:val="26"/>
          <w:szCs w:val="26"/>
        </w:rPr>
        <w:t>G</w:t>
      </w:r>
      <w:r w:rsidRPr="0011592C">
        <w:rPr>
          <w:rFonts w:ascii="Garamond" w:eastAsiaTheme="minorEastAsia" w:hAnsi="Garamond" w:cs="Arial"/>
          <w:i/>
          <w:iCs/>
          <w:sz w:val="26"/>
          <w:szCs w:val="26"/>
        </w:rPr>
        <w:t>enerale di alta consulenza, studio e ricerca</w:t>
      </w:r>
      <w:r w:rsidRPr="0011592C">
        <w:rPr>
          <w:rFonts w:ascii="Garamond" w:eastAsiaTheme="minorEastAsia" w:hAnsi="Garamond" w:cs="Arial"/>
          <w:sz w:val="26"/>
          <w:szCs w:val="26"/>
        </w:rPr>
        <w:t xml:space="preserve"> (affidato con decreto </w:t>
      </w:r>
      <w:r w:rsidR="0011592C">
        <w:rPr>
          <w:rFonts w:ascii="Garamond" w:eastAsiaTheme="minorEastAsia" w:hAnsi="Garamond" w:cs="Arial"/>
          <w:sz w:val="26"/>
          <w:szCs w:val="26"/>
        </w:rPr>
        <w:t xml:space="preserve">del Direttore </w:t>
      </w:r>
      <w:r w:rsidRPr="0011592C">
        <w:rPr>
          <w:rFonts w:ascii="Garamond" w:eastAsiaTheme="minorEastAsia" w:hAnsi="Garamond" w:cs="Arial"/>
          <w:sz w:val="26"/>
          <w:szCs w:val="26"/>
        </w:rPr>
        <w:t>G</w:t>
      </w:r>
      <w:r w:rsidR="0011592C">
        <w:rPr>
          <w:rFonts w:ascii="Garamond" w:eastAsiaTheme="minorEastAsia" w:hAnsi="Garamond" w:cs="Arial"/>
          <w:sz w:val="26"/>
          <w:szCs w:val="26"/>
        </w:rPr>
        <w:t>enerale</w:t>
      </w:r>
      <w:r w:rsidRPr="0011592C">
        <w:rPr>
          <w:rFonts w:ascii="Garamond" w:eastAsiaTheme="minorEastAsia" w:hAnsi="Garamond" w:cs="Arial"/>
          <w:sz w:val="26"/>
          <w:szCs w:val="26"/>
        </w:rPr>
        <w:t xml:space="preserve"> n. 49704 al</w:t>
      </w:r>
      <w:r w:rsidR="0011592C">
        <w:rPr>
          <w:rFonts w:ascii="Garamond" w:eastAsiaTheme="minorEastAsia" w:hAnsi="Garamond" w:cs="Arial"/>
          <w:sz w:val="26"/>
          <w:szCs w:val="26"/>
        </w:rPr>
        <w:t>la</w:t>
      </w:r>
      <w:r w:rsidRPr="0011592C">
        <w:rPr>
          <w:rFonts w:ascii="Garamond" w:eastAsiaTheme="minorEastAsia" w:hAnsi="Garamond" w:cs="Arial"/>
          <w:sz w:val="26"/>
          <w:szCs w:val="26"/>
        </w:rPr>
        <w:t xml:space="preserve"> dott.ssa Ida Marandola</w:t>
      </w:r>
      <w:r w:rsidR="0011592C">
        <w:rPr>
          <w:rFonts w:ascii="Garamond" w:eastAsiaTheme="minorEastAsia" w:hAnsi="Garamond" w:cs="Arial"/>
          <w:sz w:val="26"/>
          <w:szCs w:val="26"/>
        </w:rPr>
        <w:t>, Dirigente Generale</w:t>
      </w:r>
      <w:r w:rsidRPr="0011592C">
        <w:rPr>
          <w:rFonts w:ascii="Garamond" w:eastAsiaTheme="minorEastAsia" w:hAnsi="Garamond" w:cs="Arial"/>
          <w:sz w:val="26"/>
          <w:szCs w:val="26"/>
        </w:rPr>
        <w:t>).</w:t>
      </w:r>
    </w:p>
    <w:p w14:paraId="3EF7A346" w14:textId="77777777" w:rsidR="00EB6F38" w:rsidRPr="008E2B66" w:rsidRDefault="00EB6F38" w:rsidP="00EB6F38">
      <w:pPr>
        <w:spacing w:after="80" w:line="276" w:lineRule="auto"/>
        <w:jc w:val="both"/>
        <w:rPr>
          <w:rFonts w:ascii="Garamond" w:eastAsiaTheme="minorEastAsia" w:hAnsi="Garamond" w:cs="Arial"/>
          <w:sz w:val="26"/>
          <w:szCs w:val="26"/>
        </w:rPr>
      </w:pPr>
      <w:r w:rsidRPr="008E2B66">
        <w:rPr>
          <w:rFonts w:ascii="Garamond" w:eastAsiaTheme="minorEastAsia" w:hAnsi="Garamond" w:cs="Arial"/>
          <w:sz w:val="26"/>
          <w:szCs w:val="26"/>
        </w:rPr>
        <w:t xml:space="preserve">Completano la lista dei </w:t>
      </w:r>
      <w:r w:rsidRPr="005F2793">
        <w:rPr>
          <w:rFonts w:ascii="Garamond" w:eastAsiaTheme="minorEastAsia" w:hAnsi="Garamond" w:cs="Arial"/>
          <w:i/>
          <w:iCs/>
          <w:sz w:val="26"/>
          <w:szCs w:val="26"/>
        </w:rPr>
        <w:t>Referenti del RPCT</w:t>
      </w:r>
      <w:r w:rsidRPr="005F2793">
        <w:rPr>
          <w:rFonts w:ascii="Garamond" w:eastAsiaTheme="minorEastAsia" w:hAnsi="Garamond" w:cs="Arial"/>
          <w:sz w:val="26"/>
          <w:szCs w:val="26"/>
        </w:rPr>
        <w:t xml:space="preserve"> i</w:t>
      </w:r>
      <w:r w:rsidRPr="008E2B66">
        <w:rPr>
          <w:rFonts w:ascii="Garamond" w:eastAsiaTheme="minorEastAsia" w:hAnsi="Garamond" w:cs="Arial"/>
          <w:sz w:val="26"/>
          <w:szCs w:val="26"/>
        </w:rPr>
        <w:t xml:space="preserve"> Dirigenti e i Direttori dei Centri, oltre ai Direttori degli Uffici dirigenziali di livello generale sopra individuati. </w:t>
      </w:r>
    </w:p>
    <w:p w14:paraId="50192B96" w14:textId="7F4EDC6F" w:rsidR="00B43F67" w:rsidRPr="008E2B66" w:rsidRDefault="00B43F67" w:rsidP="00B43F67">
      <w:pPr>
        <w:spacing w:line="360" w:lineRule="auto"/>
        <w:jc w:val="both"/>
        <w:rPr>
          <w:rFonts w:ascii="Garamond" w:eastAsiaTheme="minorEastAsia" w:hAnsi="Garamond" w:cs="Arial"/>
          <w:sz w:val="26"/>
          <w:szCs w:val="26"/>
        </w:rPr>
      </w:pPr>
    </w:p>
    <w:p w14:paraId="6E73548A" w14:textId="77777777" w:rsidR="00FB6989" w:rsidRPr="008E2B66" w:rsidRDefault="00FB6989" w:rsidP="00FB6989">
      <w:pPr>
        <w:spacing w:after="160" w:line="360" w:lineRule="auto"/>
        <w:jc w:val="both"/>
        <w:rPr>
          <w:rFonts w:ascii="Garamond" w:eastAsia="Aptos" w:hAnsi="Garamond" w:cs="Arial"/>
          <w:b/>
          <w:bCs/>
          <w:kern w:val="2"/>
          <w:sz w:val="26"/>
          <w:szCs w:val="26"/>
          <w14:ligatures w14:val="standardContextual"/>
        </w:rPr>
      </w:pPr>
      <w:r w:rsidRPr="008E2B66">
        <w:rPr>
          <w:rFonts w:ascii="Garamond" w:eastAsia="Aptos" w:hAnsi="Garamond" w:cs="Arial"/>
          <w:b/>
          <w:bCs/>
          <w:kern w:val="2"/>
          <w:sz w:val="26"/>
          <w:szCs w:val="26"/>
          <w14:ligatures w14:val="standardContextual"/>
        </w:rPr>
        <w:t>2.3.2.1 Le strategie di Ente in materia di prevenzione della corruzione</w:t>
      </w:r>
    </w:p>
    <w:p w14:paraId="7BE9DA7B" w14:textId="7E4AAD11" w:rsidR="0067524D" w:rsidRPr="005F2793" w:rsidRDefault="00582BE2" w:rsidP="00582BE2">
      <w:pPr>
        <w:pStyle w:val="Paragrafoelenco"/>
        <w:autoSpaceDE w:val="0"/>
        <w:autoSpaceDN w:val="0"/>
        <w:adjustRightInd w:val="0"/>
        <w:spacing w:after="80" w:line="276" w:lineRule="auto"/>
        <w:ind w:left="0"/>
        <w:jc w:val="both"/>
        <w:rPr>
          <w:rFonts w:ascii="Garamond" w:hAnsi="Garamond" w:cs="Arial"/>
          <w:sz w:val="26"/>
          <w:szCs w:val="26"/>
        </w:rPr>
      </w:pPr>
      <w:r w:rsidRPr="005F2793">
        <w:rPr>
          <w:rFonts w:ascii="Garamond" w:hAnsi="Garamond" w:cs="Arial"/>
          <w:sz w:val="26"/>
          <w:szCs w:val="26"/>
        </w:rPr>
        <w:t xml:space="preserve">Il </w:t>
      </w:r>
      <w:r w:rsidRPr="005F2793">
        <w:rPr>
          <w:rFonts w:ascii="Garamond" w:hAnsi="Garamond" w:cs="Arial"/>
          <w:i/>
          <w:iCs/>
          <w:sz w:val="26"/>
          <w:szCs w:val="26"/>
        </w:rPr>
        <w:t>Piano Nazionale Anticorruzione (PNA)</w:t>
      </w:r>
      <w:r w:rsidR="0011592C" w:rsidRPr="005F2793">
        <w:rPr>
          <w:rFonts w:ascii="Garamond" w:hAnsi="Garamond" w:cs="Arial"/>
          <w:sz w:val="26"/>
          <w:szCs w:val="26"/>
        </w:rPr>
        <w:t xml:space="preserve"> - </w:t>
      </w:r>
      <w:r w:rsidRPr="005F2793">
        <w:rPr>
          <w:rFonts w:ascii="Garamond" w:hAnsi="Garamond" w:cs="Arial"/>
          <w:sz w:val="26"/>
          <w:szCs w:val="26"/>
        </w:rPr>
        <w:t xml:space="preserve">inteso quale atto di indirizzo per le pubbliche amministrazioni ai fini dell'adozione dei propri </w:t>
      </w:r>
      <w:r w:rsidR="0067524D" w:rsidRPr="005F2793">
        <w:rPr>
          <w:rFonts w:ascii="Garamond" w:hAnsi="Garamond" w:cs="Arial"/>
          <w:sz w:val="26"/>
          <w:szCs w:val="26"/>
        </w:rPr>
        <w:t>P</w:t>
      </w:r>
      <w:r w:rsidRPr="005F2793">
        <w:rPr>
          <w:rFonts w:ascii="Garamond" w:hAnsi="Garamond" w:cs="Arial"/>
          <w:sz w:val="26"/>
          <w:szCs w:val="26"/>
        </w:rPr>
        <w:t xml:space="preserve">iani - individua i principali rischi di corruzione e i relativi rimedi e contiene l'indicazione di obiettivi, tempi e modalità di adozione e attuazione delle misure di contrasto alla corruzione. </w:t>
      </w:r>
    </w:p>
    <w:p w14:paraId="2D7E2594" w14:textId="77777777" w:rsidR="0067524D" w:rsidRPr="005F2793" w:rsidRDefault="00582BE2" w:rsidP="00582BE2">
      <w:pPr>
        <w:pStyle w:val="Paragrafoelenco"/>
        <w:autoSpaceDE w:val="0"/>
        <w:autoSpaceDN w:val="0"/>
        <w:adjustRightInd w:val="0"/>
        <w:spacing w:after="80" w:line="276" w:lineRule="auto"/>
        <w:ind w:left="0"/>
        <w:jc w:val="both"/>
        <w:rPr>
          <w:rFonts w:ascii="Garamond" w:hAnsi="Garamond" w:cs="Arial"/>
          <w:sz w:val="26"/>
          <w:szCs w:val="26"/>
        </w:rPr>
      </w:pPr>
      <w:r w:rsidRPr="005F2793">
        <w:rPr>
          <w:rFonts w:ascii="Garamond" w:hAnsi="Garamond" w:cs="Arial"/>
          <w:sz w:val="26"/>
          <w:szCs w:val="26"/>
        </w:rPr>
        <w:t xml:space="preserve">Costituisce, pertanto, lo strumento </w:t>
      </w:r>
      <w:r w:rsidRPr="005F2793">
        <w:rPr>
          <w:rFonts w:ascii="Garamond" w:hAnsi="Garamond" w:cs="Arial"/>
          <w:i/>
          <w:iCs/>
          <w:sz w:val="26"/>
          <w:szCs w:val="26"/>
        </w:rPr>
        <w:t>cardine</w:t>
      </w:r>
      <w:r w:rsidRPr="005F2793">
        <w:rPr>
          <w:rFonts w:ascii="Garamond" w:hAnsi="Garamond" w:cs="Arial"/>
          <w:sz w:val="26"/>
          <w:szCs w:val="26"/>
        </w:rPr>
        <w:t xml:space="preserve"> del sistema di prevenzione della corruzione </w:t>
      </w:r>
      <w:r w:rsidR="0067524D" w:rsidRPr="005F2793">
        <w:rPr>
          <w:rFonts w:ascii="Garamond" w:hAnsi="Garamond" w:cs="Arial"/>
          <w:sz w:val="26"/>
          <w:szCs w:val="26"/>
        </w:rPr>
        <w:t xml:space="preserve">a livello </w:t>
      </w:r>
      <w:r w:rsidRPr="005F2793">
        <w:rPr>
          <w:rFonts w:ascii="Garamond" w:hAnsi="Garamond" w:cs="Arial"/>
          <w:sz w:val="26"/>
          <w:szCs w:val="26"/>
        </w:rPr>
        <w:t>nazionale.</w:t>
      </w:r>
    </w:p>
    <w:p w14:paraId="6128BE4D" w14:textId="11DE6070" w:rsidR="00582BE2" w:rsidRPr="008E2B66" w:rsidRDefault="00582BE2" w:rsidP="00582BE2">
      <w:pPr>
        <w:pStyle w:val="Paragrafoelenco"/>
        <w:autoSpaceDE w:val="0"/>
        <w:autoSpaceDN w:val="0"/>
        <w:adjustRightInd w:val="0"/>
        <w:spacing w:after="80" w:line="276" w:lineRule="auto"/>
        <w:ind w:left="0"/>
        <w:jc w:val="both"/>
        <w:rPr>
          <w:rFonts w:ascii="Garamond" w:hAnsi="Garamond" w:cs="Arial"/>
          <w:sz w:val="26"/>
          <w:szCs w:val="26"/>
        </w:rPr>
      </w:pPr>
      <w:r w:rsidRPr="005F2793">
        <w:rPr>
          <w:rFonts w:ascii="Garamond" w:hAnsi="Garamond" w:cs="Arial"/>
          <w:sz w:val="26"/>
          <w:szCs w:val="26"/>
        </w:rPr>
        <w:t xml:space="preserve"> Il PNA 2025 propone una visione di insieme schematica e chiara della direzione verso cui devono essere indirizzati gli sforzi delle PP.AA</w:t>
      </w:r>
      <w:r w:rsidR="0011592C" w:rsidRPr="005F2793">
        <w:rPr>
          <w:rFonts w:ascii="Garamond" w:hAnsi="Garamond" w:cs="Arial"/>
          <w:sz w:val="26"/>
          <w:szCs w:val="26"/>
        </w:rPr>
        <w:t>,</w:t>
      </w:r>
      <w:r w:rsidRPr="005F2793">
        <w:rPr>
          <w:rFonts w:ascii="Garamond" w:hAnsi="Garamond" w:cs="Arial"/>
          <w:sz w:val="26"/>
          <w:szCs w:val="26"/>
        </w:rPr>
        <w:t xml:space="preserve"> nell’aggiorna</w:t>
      </w:r>
      <w:r w:rsidR="0067524D" w:rsidRPr="005F2793">
        <w:rPr>
          <w:rFonts w:ascii="Garamond" w:hAnsi="Garamond" w:cs="Arial"/>
          <w:sz w:val="26"/>
          <w:szCs w:val="26"/>
        </w:rPr>
        <w:t>mento</w:t>
      </w:r>
      <w:r w:rsidRPr="005F2793">
        <w:rPr>
          <w:rFonts w:ascii="Garamond" w:hAnsi="Garamond" w:cs="Arial"/>
          <w:sz w:val="26"/>
          <w:szCs w:val="26"/>
        </w:rPr>
        <w:t xml:space="preserve"> </w:t>
      </w:r>
      <w:r w:rsidR="0067524D" w:rsidRPr="005F2793">
        <w:rPr>
          <w:rFonts w:ascii="Garamond" w:hAnsi="Garamond" w:cs="Arial"/>
          <w:sz w:val="26"/>
          <w:szCs w:val="26"/>
        </w:rPr>
        <w:t>del</w:t>
      </w:r>
      <w:r w:rsidRPr="005F2793">
        <w:rPr>
          <w:rFonts w:ascii="Garamond" w:hAnsi="Garamond" w:cs="Arial"/>
          <w:sz w:val="26"/>
          <w:szCs w:val="26"/>
        </w:rPr>
        <w:t xml:space="preserve">le proprie attività di prevenzione della corruzione e di </w:t>
      </w:r>
      <w:r w:rsidR="0067524D" w:rsidRPr="005F2793">
        <w:rPr>
          <w:rFonts w:ascii="Garamond" w:hAnsi="Garamond" w:cs="Arial"/>
          <w:sz w:val="26"/>
          <w:szCs w:val="26"/>
        </w:rPr>
        <w:t xml:space="preserve">potenziamento </w:t>
      </w:r>
      <w:r w:rsidRPr="005F2793">
        <w:rPr>
          <w:rFonts w:ascii="Garamond" w:hAnsi="Garamond" w:cs="Arial"/>
          <w:sz w:val="26"/>
          <w:szCs w:val="26"/>
        </w:rPr>
        <w:t>della trasparenza.</w:t>
      </w:r>
    </w:p>
    <w:p w14:paraId="597F199C" w14:textId="2D3520F2" w:rsidR="00FB6989" w:rsidRPr="008E2B66" w:rsidRDefault="00FB6989" w:rsidP="00FB6989">
      <w:pPr>
        <w:spacing w:after="80" w:line="276" w:lineRule="auto"/>
        <w:jc w:val="both"/>
        <w:rPr>
          <w:rFonts w:ascii="Garamond" w:eastAsia="Aptos" w:hAnsi="Garamond" w:cs="Arial"/>
          <w:kern w:val="2"/>
          <w:sz w:val="26"/>
          <w:szCs w:val="26"/>
          <w14:ligatures w14:val="standardContextual"/>
        </w:rPr>
      </w:pPr>
      <w:r w:rsidRPr="008E2B66">
        <w:rPr>
          <w:rFonts w:ascii="Garamond" w:eastAsia="Aptos" w:hAnsi="Garamond" w:cs="Arial"/>
          <w:kern w:val="2"/>
          <w:sz w:val="26"/>
          <w:szCs w:val="26"/>
          <w14:ligatures w14:val="standardContextual"/>
        </w:rPr>
        <w:lastRenderedPageBreak/>
        <w:t xml:space="preserve">La visione strategica per il medio e lungo periodo che ispiri ed informi tutte le attività dell’Ente è definita negli obiettivi strategici e operativi che </w:t>
      </w:r>
      <w:r w:rsidR="0067524D">
        <w:rPr>
          <w:rFonts w:ascii="Garamond" w:eastAsia="Aptos" w:hAnsi="Garamond" w:cs="Arial"/>
          <w:kern w:val="2"/>
          <w:sz w:val="26"/>
          <w:szCs w:val="26"/>
          <w14:ligatures w14:val="standardContextual"/>
        </w:rPr>
        <w:t>l’Ente</w:t>
      </w:r>
      <w:r w:rsidRPr="008E2B66">
        <w:rPr>
          <w:rFonts w:ascii="Garamond" w:eastAsia="Aptos" w:hAnsi="Garamond" w:cs="Arial"/>
          <w:kern w:val="2"/>
          <w:sz w:val="26"/>
          <w:szCs w:val="26"/>
          <w14:ligatures w14:val="standardContextual"/>
        </w:rPr>
        <w:t xml:space="preserve"> intende attuare individuando le aree prioritarie di intervento.</w:t>
      </w:r>
    </w:p>
    <w:p w14:paraId="7C0649AA" w14:textId="1506180F" w:rsidR="00FB6989" w:rsidRPr="008E2B66" w:rsidRDefault="0011592C" w:rsidP="00FB6989">
      <w:pPr>
        <w:spacing w:after="80" w:line="276" w:lineRule="auto"/>
        <w:jc w:val="both"/>
        <w:rPr>
          <w:rFonts w:ascii="Garamond" w:eastAsia="Aptos" w:hAnsi="Garamond" w:cs="Arial"/>
          <w:kern w:val="2"/>
          <w:sz w:val="26"/>
          <w:szCs w:val="26"/>
          <w14:ligatures w14:val="standardContextual"/>
        </w:rPr>
      </w:pPr>
      <w:r>
        <w:rPr>
          <w:rFonts w:ascii="Garamond" w:eastAsia="Aptos" w:hAnsi="Garamond" w:cs="Arial"/>
          <w:kern w:val="2"/>
          <w:sz w:val="26"/>
          <w:szCs w:val="26"/>
          <w14:ligatures w14:val="standardContextual"/>
        </w:rPr>
        <w:t>In riferimento al</w:t>
      </w:r>
      <w:r w:rsidR="00FB6989" w:rsidRPr="008E2B66">
        <w:rPr>
          <w:rFonts w:ascii="Garamond" w:eastAsia="Aptos" w:hAnsi="Garamond" w:cs="Arial"/>
          <w:kern w:val="2"/>
          <w:sz w:val="26"/>
          <w:szCs w:val="26"/>
          <w14:ligatures w14:val="standardContextual"/>
        </w:rPr>
        <w:t xml:space="preserve">la materia della prevenzione della corruzione </w:t>
      </w:r>
      <w:r w:rsidR="00FB6989" w:rsidRPr="005F2793">
        <w:rPr>
          <w:rFonts w:ascii="Garamond" w:eastAsia="Aptos" w:hAnsi="Garamond" w:cs="Arial"/>
          <w:kern w:val="2"/>
          <w:sz w:val="26"/>
          <w:szCs w:val="26"/>
          <w14:ligatures w14:val="standardContextual"/>
        </w:rPr>
        <w:t>anche quest’anno</w:t>
      </w:r>
      <w:r w:rsidR="00FB6989" w:rsidRPr="008E2B66">
        <w:rPr>
          <w:rFonts w:ascii="Garamond" w:eastAsia="Aptos" w:hAnsi="Garamond" w:cs="Arial"/>
          <w:kern w:val="2"/>
          <w:sz w:val="26"/>
          <w:szCs w:val="26"/>
          <w14:ligatures w14:val="standardContextual"/>
        </w:rPr>
        <w:t>, in</w:t>
      </w:r>
      <w:r w:rsidR="00FB6989" w:rsidRPr="008E2B66">
        <w:rPr>
          <w:rFonts w:ascii="Garamond" w:eastAsia="Aptos" w:hAnsi="Garamond" w:cs="Arial"/>
          <w:b/>
          <w:bCs/>
          <w:kern w:val="2"/>
          <w:sz w:val="26"/>
          <w:szCs w:val="26"/>
          <w14:ligatures w14:val="standardContextual"/>
        </w:rPr>
        <w:t xml:space="preserve"> </w:t>
      </w:r>
      <w:r w:rsidR="00FB6989" w:rsidRPr="008E2B66">
        <w:rPr>
          <w:rFonts w:ascii="Garamond" w:eastAsia="Aptos" w:hAnsi="Garamond" w:cs="Arial"/>
          <w:kern w:val="2"/>
          <w:sz w:val="26"/>
          <w:szCs w:val="26"/>
          <w14:ligatures w14:val="standardContextual"/>
        </w:rPr>
        <w:t>continuità con le programmazioni strategiche degli scorsi anni, gli elementi di pianificazione in materia di anticorruzione risultano essere</w:t>
      </w:r>
      <w:r w:rsidR="00FB6989" w:rsidRPr="008E2B66">
        <w:rPr>
          <w:rFonts w:ascii="Garamond" w:eastAsia="Aptos" w:hAnsi="Garamond" w:cs="Arial"/>
          <w:b/>
          <w:bCs/>
          <w:kern w:val="2"/>
          <w:sz w:val="26"/>
          <w:szCs w:val="26"/>
          <w14:ligatures w14:val="standardContextual"/>
        </w:rPr>
        <w:t xml:space="preserve"> </w:t>
      </w:r>
      <w:r w:rsidR="00FB6989" w:rsidRPr="008E2B66">
        <w:rPr>
          <w:rFonts w:ascii="Garamond" w:eastAsia="Aptos" w:hAnsi="Garamond" w:cs="Arial"/>
          <w:kern w:val="2"/>
          <w:sz w:val="26"/>
          <w:szCs w:val="26"/>
          <w14:ligatures w14:val="standardContextual"/>
        </w:rPr>
        <w:t>ancora i seguenti:</w:t>
      </w:r>
    </w:p>
    <w:tbl>
      <w:tblPr>
        <w:tblStyle w:val="Grigliatabella2"/>
        <w:tblW w:w="0" w:type="auto"/>
        <w:tblLook w:val="04A0" w:firstRow="1" w:lastRow="0" w:firstColumn="1" w:lastColumn="0" w:noHBand="0" w:noVBand="1"/>
      </w:tblPr>
      <w:tblGrid>
        <w:gridCol w:w="2689"/>
        <w:gridCol w:w="3729"/>
        <w:gridCol w:w="3210"/>
      </w:tblGrid>
      <w:tr w:rsidR="00FB6989" w:rsidRPr="008E2B66" w14:paraId="60574EDD" w14:textId="77777777" w:rsidTr="0057312A">
        <w:trPr>
          <w:trHeight w:val="751"/>
        </w:trPr>
        <w:tc>
          <w:tcPr>
            <w:tcW w:w="2689" w:type="dxa"/>
            <w:shd w:val="clear" w:color="auto" w:fill="92D050"/>
            <w:vAlign w:val="center"/>
          </w:tcPr>
          <w:p w14:paraId="1844F05A" w14:textId="77777777" w:rsidR="00FB6989" w:rsidRPr="008E2B66" w:rsidRDefault="00FB6989" w:rsidP="0057312A">
            <w:pPr>
              <w:spacing w:line="360" w:lineRule="auto"/>
              <w:jc w:val="center"/>
              <w:rPr>
                <w:rFonts w:ascii="Garamond" w:eastAsia="Aptos" w:hAnsi="Garamond" w:cs="Arial"/>
                <w:sz w:val="26"/>
                <w:szCs w:val="26"/>
              </w:rPr>
            </w:pPr>
            <w:r w:rsidRPr="008E2B66">
              <w:rPr>
                <w:rFonts w:ascii="Garamond" w:eastAsia="Aptos" w:hAnsi="Garamond" w:cs="Arial"/>
                <w:sz w:val="26"/>
                <w:szCs w:val="26"/>
              </w:rPr>
              <w:t>Obiettivo strategico</w:t>
            </w:r>
          </w:p>
        </w:tc>
        <w:tc>
          <w:tcPr>
            <w:tcW w:w="3729" w:type="dxa"/>
            <w:shd w:val="clear" w:color="auto" w:fill="92D050"/>
            <w:vAlign w:val="center"/>
          </w:tcPr>
          <w:p w14:paraId="27C56E42" w14:textId="77777777" w:rsidR="00FB6989" w:rsidRPr="008E2B66" w:rsidRDefault="00FB6989" w:rsidP="0057312A">
            <w:pPr>
              <w:spacing w:line="360" w:lineRule="auto"/>
              <w:jc w:val="center"/>
              <w:rPr>
                <w:rFonts w:ascii="Garamond" w:eastAsia="Aptos" w:hAnsi="Garamond" w:cs="Arial"/>
                <w:sz w:val="26"/>
                <w:szCs w:val="26"/>
              </w:rPr>
            </w:pPr>
            <w:r w:rsidRPr="008E2B66">
              <w:rPr>
                <w:rFonts w:ascii="Garamond" w:eastAsia="Aptos" w:hAnsi="Garamond" w:cs="Arial"/>
                <w:sz w:val="26"/>
                <w:szCs w:val="26"/>
              </w:rPr>
              <w:t>Descrizione obiettivo strategico</w:t>
            </w:r>
          </w:p>
        </w:tc>
        <w:tc>
          <w:tcPr>
            <w:tcW w:w="3210" w:type="dxa"/>
            <w:shd w:val="clear" w:color="auto" w:fill="92D050"/>
            <w:vAlign w:val="center"/>
          </w:tcPr>
          <w:p w14:paraId="5C23B157" w14:textId="77777777" w:rsidR="00FB6989" w:rsidRPr="008E2B66" w:rsidRDefault="00FB6989" w:rsidP="0057312A">
            <w:pPr>
              <w:spacing w:line="360" w:lineRule="auto"/>
              <w:jc w:val="center"/>
              <w:rPr>
                <w:rFonts w:ascii="Garamond" w:eastAsia="Aptos" w:hAnsi="Garamond" w:cs="Arial"/>
                <w:sz w:val="26"/>
                <w:szCs w:val="26"/>
              </w:rPr>
            </w:pPr>
            <w:r w:rsidRPr="008E2B66">
              <w:rPr>
                <w:rFonts w:ascii="Garamond" w:eastAsia="Aptos" w:hAnsi="Garamond" w:cs="Arial"/>
                <w:sz w:val="26"/>
                <w:szCs w:val="26"/>
              </w:rPr>
              <w:t>Indicatore</w:t>
            </w:r>
          </w:p>
        </w:tc>
      </w:tr>
      <w:tr w:rsidR="00FB6989" w:rsidRPr="008E2B66" w14:paraId="56564994" w14:textId="77777777" w:rsidTr="00FB6989">
        <w:tc>
          <w:tcPr>
            <w:tcW w:w="2689" w:type="dxa"/>
            <w:vAlign w:val="center"/>
          </w:tcPr>
          <w:p w14:paraId="10796295" w14:textId="77777777" w:rsidR="00FB6989" w:rsidRPr="005F2793" w:rsidRDefault="00FB6989" w:rsidP="00FB6989">
            <w:pPr>
              <w:spacing w:line="276" w:lineRule="auto"/>
              <w:rPr>
                <w:rFonts w:ascii="Garamond" w:eastAsia="Aptos" w:hAnsi="Garamond" w:cs="Arial"/>
                <w:sz w:val="26"/>
                <w:szCs w:val="26"/>
              </w:rPr>
            </w:pPr>
            <w:r w:rsidRPr="005F2793">
              <w:rPr>
                <w:rFonts w:ascii="Garamond" w:eastAsia="Aptos" w:hAnsi="Garamond" w:cs="Arial"/>
                <w:sz w:val="26"/>
                <w:szCs w:val="26"/>
              </w:rPr>
              <w:t>Incrementare la cultura della trasparenza e dell’anticorruzione</w:t>
            </w:r>
          </w:p>
        </w:tc>
        <w:tc>
          <w:tcPr>
            <w:tcW w:w="3729" w:type="dxa"/>
            <w:vAlign w:val="center"/>
          </w:tcPr>
          <w:p w14:paraId="1BC7AFFE" w14:textId="77777777" w:rsidR="00FB6989" w:rsidRPr="005F2793" w:rsidRDefault="00FB6989" w:rsidP="00FB6989">
            <w:pPr>
              <w:spacing w:line="276" w:lineRule="auto"/>
              <w:rPr>
                <w:rFonts w:ascii="Garamond" w:eastAsia="Aptos" w:hAnsi="Garamond" w:cs="Arial"/>
                <w:sz w:val="26"/>
                <w:szCs w:val="26"/>
              </w:rPr>
            </w:pPr>
            <w:r w:rsidRPr="005F2793">
              <w:rPr>
                <w:rFonts w:ascii="Garamond" w:eastAsia="Aptos" w:hAnsi="Garamond" w:cs="Arial"/>
                <w:sz w:val="26"/>
                <w:szCs w:val="26"/>
              </w:rPr>
              <w:t>Stimolare i responsabili delle strutture amministrative al rispetto della normativa in tema di trasparenza e anticorruzione</w:t>
            </w:r>
          </w:p>
        </w:tc>
        <w:tc>
          <w:tcPr>
            <w:tcW w:w="3210" w:type="dxa"/>
            <w:vAlign w:val="center"/>
          </w:tcPr>
          <w:p w14:paraId="56B77026" w14:textId="142FF390" w:rsidR="00FB6989" w:rsidRPr="005F2793" w:rsidRDefault="00FB6989" w:rsidP="00FB6989">
            <w:pPr>
              <w:spacing w:line="276" w:lineRule="auto"/>
              <w:rPr>
                <w:rFonts w:ascii="Garamond" w:eastAsia="Aptos" w:hAnsi="Garamond" w:cs="Arial"/>
                <w:sz w:val="26"/>
                <w:szCs w:val="26"/>
              </w:rPr>
            </w:pPr>
            <w:r w:rsidRPr="005F2793">
              <w:rPr>
                <w:rFonts w:ascii="Garamond" w:eastAsia="Aptos" w:hAnsi="Garamond" w:cs="Arial"/>
                <w:sz w:val="26"/>
                <w:szCs w:val="26"/>
              </w:rPr>
              <w:t xml:space="preserve">Attuazione delle misure a </w:t>
            </w:r>
            <w:r w:rsidRPr="006257A6">
              <w:rPr>
                <w:rFonts w:ascii="Garamond" w:eastAsia="Aptos" w:hAnsi="Garamond" w:cs="Arial"/>
                <w:i/>
                <w:iCs/>
                <w:sz w:val="26"/>
                <w:szCs w:val="26"/>
              </w:rPr>
              <w:t>rischio alto e molto alto</w:t>
            </w:r>
            <w:r w:rsidRPr="005F2793">
              <w:rPr>
                <w:rFonts w:ascii="Garamond" w:eastAsia="Aptos" w:hAnsi="Garamond" w:cs="Arial"/>
                <w:sz w:val="26"/>
                <w:szCs w:val="26"/>
              </w:rPr>
              <w:t xml:space="preserve"> previste nel PIAO, sottosezione </w:t>
            </w:r>
            <w:r w:rsidRPr="006257A6">
              <w:rPr>
                <w:rFonts w:ascii="Garamond" w:eastAsia="Aptos" w:hAnsi="Garamond" w:cs="Arial"/>
                <w:i/>
                <w:iCs/>
                <w:sz w:val="26"/>
                <w:szCs w:val="26"/>
              </w:rPr>
              <w:t>Rischi corruttivi e trasparenza</w:t>
            </w:r>
          </w:p>
        </w:tc>
      </w:tr>
    </w:tbl>
    <w:p w14:paraId="4751A28F" w14:textId="77777777" w:rsidR="00FB6989" w:rsidRPr="008E2B66" w:rsidRDefault="00FB6989" w:rsidP="00FB6989">
      <w:pPr>
        <w:autoSpaceDE w:val="0"/>
        <w:autoSpaceDN w:val="0"/>
        <w:adjustRightInd w:val="0"/>
        <w:rPr>
          <w:rFonts w:ascii="Garamond" w:eastAsia="Aptos" w:hAnsi="Garamond" w:cs="Calibri"/>
          <w:b/>
          <w:bCs/>
          <w:color w:val="001F5F"/>
          <w:sz w:val="26"/>
          <w:szCs w:val="26"/>
          <w14:ligatures w14:val="standardContextual"/>
        </w:rPr>
      </w:pPr>
    </w:p>
    <w:p w14:paraId="21D62217" w14:textId="1B265486" w:rsidR="00FB6989" w:rsidRPr="008E2B66" w:rsidRDefault="00FB6989" w:rsidP="00FB6989">
      <w:pPr>
        <w:spacing w:after="160" w:line="360" w:lineRule="auto"/>
        <w:jc w:val="both"/>
        <w:rPr>
          <w:rFonts w:ascii="Garamond" w:eastAsia="Aptos" w:hAnsi="Garamond" w:cs="Arial"/>
          <w:b/>
          <w:bCs/>
          <w:kern w:val="2"/>
          <w:sz w:val="26"/>
          <w:szCs w:val="26"/>
          <w14:ligatures w14:val="standardContextual"/>
        </w:rPr>
      </w:pPr>
      <w:r w:rsidRPr="005F2793">
        <w:rPr>
          <w:rFonts w:ascii="Garamond" w:eastAsia="Aptos" w:hAnsi="Garamond" w:cs="Arial"/>
          <w:b/>
          <w:bCs/>
          <w:kern w:val="2"/>
          <w:sz w:val="26"/>
          <w:szCs w:val="26"/>
          <w14:ligatures w14:val="standardContextual"/>
        </w:rPr>
        <w:t>2.3.2.2 Il contesto esterno nella strategia di prevenzione della corruzione</w:t>
      </w:r>
      <w:r w:rsidRPr="008E2B66">
        <w:rPr>
          <w:rFonts w:ascii="Garamond" w:eastAsia="Aptos" w:hAnsi="Garamond" w:cs="Arial"/>
          <w:b/>
          <w:bCs/>
          <w:kern w:val="2"/>
          <w:sz w:val="26"/>
          <w:szCs w:val="26"/>
          <w14:ligatures w14:val="standardContextual"/>
        </w:rPr>
        <w:t xml:space="preserve"> </w:t>
      </w:r>
    </w:p>
    <w:p w14:paraId="2EE6938A" w14:textId="0E9F8B58" w:rsidR="00FB6989" w:rsidRPr="008E2B66" w:rsidRDefault="00FB6989" w:rsidP="00FB6989">
      <w:pPr>
        <w:spacing w:after="80" w:line="276" w:lineRule="auto"/>
        <w:jc w:val="both"/>
        <w:rPr>
          <w:rFonts w:ascii="Garamond" w:eastAsia="Aptos" w:hAnsi="Garamond" w:cs="Arial"/>
          <w:kern w:val="2"/>
          <w:sz w:val="26"/>
          <w:szCs w:val="26"/>
          <w14:ligatures w14:val="standardContextual"/>
        </w:rPr>
      </w:pPr>
      <w:r w:rsidRPr="008E2B66">
        <w:rPr>
          <w:rFonts w:ascii="Garamond" w:eastAsia="Aptos" w:hAnsi="Garamond" w:cs="Arial"/>
          <w:kern w:val="2"/>
          <w:sz w:val="26"/>
          <w:szCs w:val="26"/>
          <w14:ligatures w14:val="standardContextual"/>
        </w:rPr>
        <w:t>Al fine di effettuare un’efficace prevenzione in materia di anticorruzione</w:t>
      </w:r>
      <w:r w:rsidR="0011592C">
        <w:rPr>
          <w:rFonts w:ascii="Garamond" w:eastAsia="Aptos" w:hAnsi="Garamond" w:cs="Arial"/>
          <w:kern w:val="2"/>
          <w:sz w:val="26"/>
          <w:szCs w:val="26"/>
          <w14:ligatures w14:val="standardContextual"/>
        </w:rPr>
        <w:t>,</w:t>
      </w:r>
      <w:r w:rsidRPr="008E2B66">
        <w:rPr>
          <w:rFonts w:ascii="Garamond" w:eastAsia="Aptos" w:hAnsi="Garamond" w:cs="Arial"/>
          <w:kern w:val="2"/>
          <w:sz w:val="26"/>
          <w:szCs w:val="26"/>
          <w14:ligatures w14:val="standardContextual"/>
        </w:rPr>
        <w:t xml:space="preserve"> è necessario comprendere l’ambiente esterno in cui l’Ente opera e, in particolare, tenere in considerazione il contesto sociale, politico, economico, finanziario, competitivo, normativo, culturale nonché relazionale con gli stakeholder esterni.</w:t>
      </w:r>
    </w:p>
    <w:p w14:paraId="5EB6DE09" w14:textId="1FE4A35A" w:rsidR="00FB6989" w:rsidRPr="008E2B66" w:rsidRDefault="00FB6989" w:rsidP="00FB6989">
      <w:pPr>
        <w:spacing w:after="80" w:line="276" w:lineRule="auto"/>
        <w:jc w:val="both"/>
        <w:rPr>
          <w:rFonts w:ascii="Garamond" w:eastAsia="Aptos" w:hAnsi="Garamond" w:cs="Arial"/>
          <w:kern w:val="2"/>
          <w:sz w:val="26"/>
          <w:szCs w:val="26"/>
          <w14:ligatures w14:val="standardContextual"/>
        </w:rPr>
      </w:pPr>
      <w:r w:rsidRPr="005F2793">
        <w:rPr>
          <w:rFonts w:ascii="Garamond" w:eastAsia="Aptos" w:hAnsi="Garamond" w:cs="Arial"/>
          <w:kern w:val="2"/>
          <w:sz w:val="26"/>
          <w:szCs w:val="26"/>
          <w14:ligatures w14:val="standardContextual"/>
        </w:rPr>
        <w:t>Quanto a questi ultimi, si fa rinvio al lavoro di mappatura</w:t>
      </w:r>
      <w:r w:rsidR="0067524D" w:rsidRPr="005F2793">
        <w:rPr>
          <w:rFonts w:ascii="Garamond" w:eastAsia="Aptos" w:hAnsi="Garamond" w:cs="Arial"/>
          <w:kern w:val="2"/>
          <w:sz w:val="26"/>
          <w:szCs w:val="26"/>
          <w14:ligatures w14:val="standardContextual"/>
        </w:rPr>
        <w:t xml:space="preserve"> </w:t>
      </w:r>
      <w:r w:rsidR="00DA54CF" w:rsidRPr="005F2793">
        <w:rPr>
          <w:rFonts w:ascii="Garamond" w:eastAsia="Aptos" w:hAnsi="Garamond" w:cs="Arial"/>
          <w:kern w:val="2"/>
          <w:sz w:val="26"/>
          <w:szCs w:val="26"/>
          <w14:ligatures w14:val="standardContextual"/>
        </w:rPr>
        <w:t>compiuto negli anni precedenti</w:t>
      </w:r>
      <w:r w:rsidR="005F2793">
        <w:rPr>
          <w:rFonts w:ascii="Garamond" w:eastAsia="Aptos" w:hAnsi="Garamond" w:cs="Arial"/>
          <w:kern w:val="2"/>
          <w:sz w:val="26"/>
          <w:szCs w:val="26"/>
          <w14:ligatures w14:val="standardContextual"/>
        </w:rPr>
        <w:t xml:space="preserve">, </w:t>
      </w:r>
      <w:r w:rsidRPr="005F2793">
        <w:rPr>
          <w:rFonts w:ascii="Garamond" w:eastAsia="Aptos" w:hAnsi="Garamond" w:cs="Arial"/>
          <w:kern w:val="2"/>
          <w:sz w:val="26"/>
          <w:szCs w:val="26"/>
          <w14:ligatures w14:val="standardContextual"/>
        </w:rPr>
        <w:t xml:space="preserve">contenuto nella sottosezione </w:t>
      </w:r>
      <w:r w:rsidRPr="005F2793">
        <w:rPr>
          <w:rFonts w:ascii="Garamond" w:eastAsia="Aptos" w:hAnsi="Garamond" w:cs="Arial"/>
          <w:i/>
          <w:iCs/>
          <w:kern w:val="2"/>
          <w:sz w:val="26"/>
          <w:szCs w:val="26"/>
          <w14:ligatures w14:val="standardContextual"/>
        </w:rPr>
        <w:t xml:space="preserve">Performance </w:t>
      </w:r>
      <w:r w:rsidRPr="005F2793">
        <w:rPr>
          <w:rFonts w:ascii="Garamond" w:eastAsia="Aptos" w:hAnsi="Garamond" w:cs="Arial"/>
          <w:kern w:val="2"/>
          <w:sz w:val="26"/>
          <w:szCs w:val="26"/>
          <w14:ligatures w14:val="standardContextual"/>
        </w:rPr>
        <w:t xml:space="preserve">del </w:t>
      </w:r>
      <w:hyperlink r:id="rId9" w:history="1">
        <w:r w:rsidRPr="005F2793">
          <w:rPr>
            <w:rStyle w:val="Collegamentoipertestuale"/>
            <w:rFonts w:ascii="Garamond" w:eastAsia="Arial Unicode MS" w:hAnsi="Garamond" w:cs="Arial"/>
            <w:sz w:val="26"/>
            <w:szCs w:val="26"/>
            <w:bdr w:val="nil"/>
            <w:lang w:eastAsia="it-IT"/>
          </w:rPr>
          <w:t>PIAO 2024</w:t>
        </w:r>
        <w:r w:rsidR="0011592C" w:rsidRPr="005F2793">
          <w:rPr>
            <w:rStyle w:val="Collegamentoipertestuale"/>
            <w:rFonts w:ascii="Garamond" w:eastAsia="Arial Unicode MS" w:hAnsi="Garamond" w:cs="Arial"/>
            <w:sz w:val="26"/>
            <w:szCs w:val="26"/>
            <w:bdr w:val="nil"/>
            <w:lang w:eastAsia="it-IT"/>
          </w:rPr>
          <w:t>/</w:t>
        </w:r>
        <w:r w:rsidRPr="005F2793">
          <w:rPr>
            <w:rStyle w:val="Collegamentoipertestuale"/>
            <w:rFonts w:ascii="Garamond" w:eastAsia="Arial Unicode MS" w:hAnsi="Garamond" w:cs="Arial"/>
            <w:sz w:val="26"/>
            <w:szCs w:val="26"/>
            <w:bdr w:val="nil"/>
            <w:lang w:eastAsia="it-IT"/>
          </w:rPr>
          <w:t>2026</w:t>
        </w:r>
      </w:hyperlink>
      <w:r w:rsidRPr="005F2793">
        <w:rPr>
          <w:rFonts w:ascii="Garamond" w:eastAsia="Aptos" w:hAnsi="Garamond" w:cs="Arial"/>
          <w:kern w:val="2"/>
          <w:sz w:val="26"/>
          <w:szCs w:val="26"/>
          <w14:ligatures w14:val="standardContextual"/>
        </w:rPr>
        <w:t>.  Per</w:t>
      </w:r>
      <w:r w:rsidRPr="008E2B66">
        <w:rPr>
          <w:rFonts w:ascii="Garamond" w:eastAsia="Aptos" w:hAnsi="Garamond" w:cs="Arial"/>
          <w:kern w:val="2"/>
          <w:sz w:val="26"/>
          <w:szCs w:val="26"/>
          <w14:ligatures w14:val="standardContextual"/>
        </w:rPr>
        <w:t xml:space="preserve"> le condizioni interne ed esterne in cui il CREA si trova ad operare si rinvia alle risultanze dell’analisi </w:t>
      </w:r>
      <w:r w:rsidRPr="0067524D">
        <w:rPr>
          <w:rFonts w:ascii="Garamond" w:eastAsia="Aptos" w:hAnsi="Garamond" w:cs="Arial"/>
          <w:i/>
          <w:iCs/>
          <w:kern w:val="2"/>
          <w:sz w:val="26"/>
          <w:szCs w:val="26"/>
          <w14:ligatures w14:val="standardContextual"/>
        </w:rPr>
        <w:t>SWOT (Strengths, Weaknesses, Opportunities, Threats)</w:t>
      </w:r>
      <w:r w:rsidRPr="0067524D">
        <w:rPr>
          <w:rFonts w:ascii="Garamond" w:eastAsia="Aptos" w:hAnsi="Garamond" w:cs="Arial"/>
          <w:b/>
          <w:bCs/>
          <w:i/>
          <w:iCs/>
          <w:kern w:val="2"/>
          <w:sz w:val="26"/>
          <w:szCs w:val="26"/>
          <w14:ligatures w14:val="standardContextual"/>
        </w:rPr>
        <w:t xml:space="preserve"> </w:t>
      </w:r>
      <w:r w:rsidRPr="008E2B66">
        <w:rPr>
          <w:rFonts w:ascii="Garamond" w:eastAsia="Aptos" w:hAnsi="Garamond" w:cs="Arial"/>
          <w:kern w:val="2"/>
          <w:sz w:val="26"/>
          <w:szCs w:val="26"/>
          <w14:ligatures w14:val="standardContextual"/>
        </w:rPr>
        <w:t xml:space="preserve">riportata nella sottosezione </w:t>
      </w:r>
      <w:r w:rsidRPr="003A6DFE">
        <w:rPr>
          <w:rFonts w:ascii="Garamond" w:eastAsia="Aptos" w:hAnsi="Garamond" w:cs="Arial"/>
          <w:i/>
          <w:iCs/>
          <w:kern w:val="2"/>
          <w:sz w:val="26"/>
          <w:szCs w:val="26"/>
          <w14:ligatures w14:val="standardContextual"/>
        </w:rPr>
        <w:t>Valore Pubblico</w:t>
      </w:r>
      <w:r w:rsidRPr="008E2B66">
        <w:rPr>
          <w:rFonts w:ascii="Garamond" w:eastAsia="Aptos" w:hAnsi="Garamond" w:cs="Arial"/>
          <w:i/>
          <w:iCs/>
          <w:kern w:val="2"/>
          <w:sz w:val="26"/>
          <w:szCs w:val="26"/>
          <w14:ligatures w14:val="standardContextual"/>
        </w:rPr>
        <w:t xml:space="preserve"> </w:t>
      </w:r>
      <w:r w:rsidRPr="008E2B66">
        <w:rPr>
          <w:rFonts w:ascii="Garamond" w:eastAsia="Aptos" w:hAnsi="Garamond" w:cs="Arial"/>
          <w:kern w:val="2"/>
          <w:sz w:val="26"/>
          <w:szCs w:val="26"/>
          <w14:ligatures w14:val="standardContextual"/>
        </w:rPr>
        <w:t>del menzionato</w:t>
      </w:r>
      <w:r w:rsidRPr="008E2B66">
        <w:rPr>
          <w:rFonts w:ascii="Garamond" w:eastAsia="Aptos" w:hAnsi="Garamond" w:cs="Arial"/>
          <w:i/>
          <w:iCs/>
          <w:kern w:val="2"/>
          <w:sz w:val="26"/>
          <w:szCs w:val="26"/>
          <w14:ligatures w14:val="standardContextual"/>
        </w:rPr>
        <w:t xml:space="preserve"> </w:t>
      </w:r>
      <w:r w:rsidRPr="008E2B66">
        <w:rPr>
          <w:rFonts w:ascii="Garamond" w:eastAsia="Aptos" w:hAnsi="Garamond" w:cs="Arial"/>
          <w:kern w:val="2"/>
          <w:sz w:val="26"/>
          <w:szCs w:val="26"/>
          <w14:ligatures w14:val="standardContextual"/>
        </w:rPr>
        <w:t>PIAO.</w:t>
      </w:r>
    </w:p>
    <w:p w14:paraId="2870F55C" w14:textId="77777777" w:rsidR="00FB6989" w:rsidRPr="008E2B66" w:rsidRDefault="00FB6989" w:rsidP="00FB6989">
      <w:pPr>
        <w:spacing w:after="80" w:line="276" w:lineRule="auto"/>
        <w:jc w:val="both"/>
        <w:rPr>
          <w:rFonts w:ascii="Garamond" w:eastAsia="Aptos" w:hAnsi="Garamond" w:cs="Arial"/>
          <w:kern w:val="2"/>
          <w:sz w:val="26"/>
          <w:szCs w:val="26"/>
          <w14:ligatures w14:val="standardContextual"/>
        </w:rPr>
      </w:pPr>
      <w:r w:rsidRPr="008E2B66">
        <w:rPr>
          <w:rFonts w:ascii="Garamond" w:eastAsia="Aptos" w:hAnsi="Garamond" w:cs="Arial"/>
          <w:kern w:val="2"/>
          <w:sz w:val="26"/>
          <w:szCs w:val="26"/>
          <w14:ligatures w14:val="standardContextual"/>
        </w:rPr>
        <w:t>Ciò posto, si ritiene utile qui riportare le più recenti risultanze evidenziate dagli organismi addetti all’emersione e gestione dei fenomeni corruttivi al fine di fornire un quadro più ampio.</w:t>
      </w:r>
    </w:p>
    <w:p w14:paraId="10818817" w14:textId="60DAB9C0" w:rsidR="00FB6989" w:rsidRPr="008E2B66" w:rsidRDefault="00FB6989" w:rsidP="00FB6989">
      <w:pPr>
        <w:autoSpaceDE w:val="0"/>
        <w:autoSpaceDN w:val="0"/>
        <w:adjustRightInd w:val="0"/>
        <w:spacing w:after="80" w:line="276" w:lineRule="auto"/>
        <w:jc w:val="both"/>
        <w:rPr>
          <w:rFonts w:ascii="Garamond" w:eastAsia="Aptos" w:hAnsi="Garamond" w:cs="Arial"/>
          <w:kern w:val="2"/>
          <w:sz w:val="26"/>
          <w:szCs w:val="26"/>
          <w14:ligatures w14:val="standardContextual"/>
        </w:rPr>
      </w:pPr>
      <w:r w:rsidRPr="008E2B66">
        <w:rPr>
          <w:rFonts w:ascii="Garamond" w:eastAsia="Aptos" w:hAnsi="Garamond" w:cs="Arial"/>
          <w:kern w:val="2"/>
          <w:sz w:val="26"/>
          <w:szCs w:val="26"/>
          <w14:ligatures w14:val="standardContextual"/>
        </w:rPr>
        <w:t xml:space="preserve">Il rapporto di </w:t>
      </w:r>
      <w:r w:rsidRPr="003A6DFE">
        <w:rPr>
          <w:rFonts w:ascii="Garamond" w:eastAsia="Aptos" w:hAnsi="Garamond" w:cs="Arial"/>
          <w:i/>
          <w:iCs/>
          <w:kern w:val="2"/>
          <w:sz w:val="26"/>
          <w:szCs w:val="26"/>
          <w14:ligatures w14:val="standardContextual"/>
        </w:rPr>
        <w:t>Transparency International</w:t>
      </w:r>
      <w:r w:rsidRPr="008E2B66">
        <w:rPr>
          <w:rFonts w:ascii="Garamond" w:eastAsia="Aptos" w:hAnsi="Garamond" w:cs="Arial"/>
          <w:kern w:val="2"/>
          <w:sz w:val="26"/>
          <w:szCs w:val="26"/>
          <w14:ligatures w14:val="standardContextual"/>
        </w:rPr>
        <w:t xml:space="preserve"> rende pubblico annualmente </w:t>
      </w:r>
      <w:r w:rsidRPr="003A6DFE">
        <w:rPr>
          <w:rFonts w:ascii="Garamond" w:eastAsia="Aptos" w:hAnsi="Garamond" w:cs="Arial"/>
          <w:i/>
          <w:iCs/>
          <w:kern w:val="2"/>
          <w:sz w:val="26"/>
          <w:szCs w:val="26"/>
          <w14:ligatures w14:val="standardContextual"/>
        </w:rPr>
        <w:t>l’Indice di Percezione della Corruzione (CPI)</w:t>
      </w:r>
      <w:r w:rsidRPr="008E2B66">
        <w:rPr>
          <w:rFonts w:ascii="Garamond" w:eastAsia="Aptos" w:hAnsi="Garamond" w:cs="Arial"/>
          <w:kern w:val="2"/>
          <w:sz w:val="26"/>
          <w:szCs w:val="26"/>
          <w14:ligatures w14:val="standardContextual"/>
        </w:rPr>
        <w:t>, il principale indicatore globale della corruzione nel settore pubblico. L'Indice assegna un punteggio a 180 nazioni e territori di tutto il mondo in base alla percezione della corruzione nel settore pubblico, utilizzando dati provenienti da 13 fonti esterne. I punteggi riflettono le opinioni di esperti del settore. Il punteggio dell’Italia nel CPI 2024 è pari a 54 e colloca il nostro Paese</w:t>
      </w:r>
      <w:r w:rsidRPr="008E2B66">
        <w:rPr>
          <w:rFonts w:ascii="Garamond" w:eastAsia="Aptos" w:hAnsi="Garamond" w:cs="Arial"/>
          <w:b/>
          <w:bCs/>
          <w:kern w:val="2"/>
          <w:sz w:val="26"/>
          <w:szCs w:val="26"/>
          <w14:ligatures w14:val="standardContextual"/>
        </w:rPr>
        <w:t xml:space="preserve"> </w:t>
      </w:r>
      <w:r w:rsidRPr="008E2B66">
        <w:rPr>
          <w:rFonts w:ascii="Garamond" w:eastAsia="Aptos" w:hAnsi="Garamond" w:cs="Arial"/>
          <w:kern w:val="2"/>
          <w:sz w:val="26"/>
          <w:szCs w:val="26"/>
          <w14:ligatures w14:val="standardContextual"/>
        </w:rPr>
        <w:t>al 52° posto nella classifica globale ed</w:t>
      </w:r>
      <w:r w:rsidRPr="008E2B66">
        <w:rPr>
          <w:rFonts w:ascii="Garamond" w:eastAsia="Aptos" w:hAnsi="Garamond" w:cs="Arial"/>
          <w:b/>
          <w:bCs/>
          <w:kern w:val="2"/>
          <w:sz w:val="26"/>
          <w:szCs w:val="26"/>
          <w14:ligatures w14:val="standardContextual"/>
        </w:rPr>
        <w:t xml:space="preserve"> </w:t>
      </w:r>
      <w:r w:rsidRPr="008E2B66">
        <w:rPr>
          <w:rFonts w:ascii="Garamond" w:eastAsia="Aptos" w:hAnsi="Garamond" w:cs="Arial"/>
          <w:kern w:val="2"/>
          <w:sz w:val="26"/>
          <w:szCs w:val="26"/>
          <w14:ligatures w14:val="standardContextual"/>
        </w:rPr>
        <w:t>al 19° posto tra i 27 Paesi membri dell’Unione Europea. Nell’ambito di una lenta ma progressiva tendenza alla crescita di tale punteggio</w:t>
      </w:r>
      <w:r w:rsidR="003A6DFE">
        <w:rPr>
          <w:rFonts w:ascii="Garamond" w:eastAsia="Aptos" w:hAnsi="Garamond" w:cs="Arial"/>
          <w:kern w:val="2"/>
          <w:sz w:val="26"/>
          <w:szCs w:val="26"/>
          <w14:ligatures w14:val="standardContextual"/>
        </w:rPr>
        <w:t xml:space="preserve"> - </w:t>
      </w:r>
      <w:r w:rsidRPr="008E2B66">
        <w:rPr>
          <w:rFonts w:ascii="Garamond" w:eastAsia="Aptos" w:hAnsi="Garamond" w:cs="Arial"/>
          <w:kern w:val="2"/>
          <w:sz w:val="26"/>
          <w:szCs w:val="26"/>
          <w14:ligatures w14:val="standardContextual"/>
        </w:rPr>
        <w:t>da 42 del 2012 a 56 del 2023 - innescato da positivi passi in avanti in chiave anticorruzione, il CPI 2024 segna però il primo calo dell’Italia rispetto al dato dell’anno precedente, calo che si registra anche in altri stati europei come Svezia o Norvegia e con economie importanti come Francia e Germania. Al riguardo occorre, tuttavia, rammentare che tale graduatoria, che pure ha il merito di attirare l’attenzione sul fenomeno, si basa, appunto, su un “indice di percezione della corruzione” che è, quindi, influenzato da fattori – non quantificabili di valutazione soggettiva.</w:t>
      </w:r>
    </w:p>
    <w:p w14:paraId="544EA0A3" w14:textId="77777777" w:rsidR="00FB6989" w:rsidRPr="008E2B66" w:rsidRDefault="00FB6989" w:rsidP="00FB6989">
      <w:pPr>
        <w:autoSpaceDE w:val="0"/>
        <w:autoSpaceDN w:val="0"/>
        <w:adjustRightInd w:val="0"/>
        <w:spacing w:after="80" w:line="276" w:lineRule="auto"/>
        <w:jc w:val="both"/>
        <w:rPr>
          <w:rFonts w:ascii="Garamond" w:eastAsia="Aptos" w:hAnsi="Garamond" w:cs="Arial"/>
          <w:kern w:val="2"/>
          <w:sz w:val="26"/>
          <w:szCs w:val="26"/>
          <w14:ligatures w14:val="standardContextual"/>
        </w:rPr>
      </w:pPr>
      <w:r w:rsidRPr="008E2B66">
        <w:rPr>
          <w:rFonts w:ascii="Garamond" w:eastAsia="Aptos" w:hAnsi="Garamond" w:cs="Arial"/>
          <w:kern w:val="2"/>
          <w:sz w:val="26"/>
          <w:szCs w:val="26"/>
          <w14:ligatures w14:val="standardContextual"/>
        </w:rPr>
        <w:lastRenderedPageBreak/>
        <w:t xml:space="preserve">Va inoltre richiamata anche la Relazione 2024 sull’attività svolta e sui risultati conseguiti dalla Direzione Investigativa Antimafia, presentata dal Ministro dell’interno al Parlamento in data 27 maggio 2025. I dati confermano la capacità di adattamento delle organizzazioni criminali, pronte ad adottare strategie sofisticate per infiltrarsi negli appalti pubblici, influenzandone le procedure attraverso suggerimenti sui bandi di gara a favore di alcuni soggetti da favorire o per escludere soggetti concorrenti più qualificati, la creazione di accordi fra imprese per una gestione mirata delle offerte. </w:t>
      </w:r>
    </w:p>
    <w:p w14:paraId="67757596" w14:textId="77777777" w:rsidR="00FB6989" w:rsidRPr="008E2B66" w:rsidRDefault="00FB6989" w:rsidP="00FB6989">
      <w:pPr>
        <w:autoSpaceDE w:val="0"/>
        <w:autoSpaceDN w:val="0"/>
        <w:adjustRightInd w:val="0"/>
        <w:spacing w:line="276" w:lineRule="auto"/>
        <w:jc w:val="both"/>
        <w:rPr>
          <w:rFonts w:ascii="Garamond" w:eastAsiaTheme="minorHAnsi" w:hAnsi="Garamond" w:cs="Arial"/>
          <w:sz w:val="26"/>
          <w:szCs w:val="26"/>
        </w:rPr>
      </w:pPr>
      <w:r w:rsidRPr="008E2B66">
        <w:rPr>
          <w:rFonts w:ascii="Garamond" w:eastAsiaTheme="minorHAnsi" w:hAnsi="Garamond" w:cs="Arial"/>
          <w:sz w:val="26"/>
          <w:szCs w:val="26"/>
        </w:rPr>
        <w:t>Specie nel campo dei lavori, le infiltrazioni mafiose possono estendersi anche alla fase successiva all’aggiudicazione dell’appalto: le imprese vincitrici, infatti, a volte sono costrette a subappaltare attività ad aziende affiliate alla criminalità, come il noleggio di mezzi a freddo o a caldo, la fornitura di materiali edili, i lavori di movimento terra, la sorveglianza dei cantieri, il trasporto di rifiuti in discarica.</w:t>
      </w:r>
    </w:p>
    <w:p w14:paraId="202CFCAC" w14:textId="77777777" w:rsidR="00FB6989" w:rsidRPr="008E2B66" w:rsidRDefault="00FB6989" w:rsidP="00FB6989">
      <w:pPr>
        <w:spacing w:after="80" w:line="276" w:lineRule="auto"/>
        <w:jc w:val="both"/>
        <w:rPr>
          <w:rFonts w:ascii="Garamond" w:eastAsia="Aptos" w:hAnsi="Garamond" w:cs="Arial"/>
          <w:kern w:val="2"/>
          <w:sz w:val="26"/>
          <w:szCs w:val="26"/>
          <w14:ligatures w14:val="standardContextual"/>
        </w:rPr>
      </w:pPr>
      <w:r w:rsidRPr="008E2B66">
        <w:rPr>
          <w:rFonts w:ascii="Garamond" w:eastAsia="Aptos" w:hAnsi="Garamond" w:cs="Arial"/>
          <w:kern w:val="2"/>
          <w:sz w:val="26"/>
          <w:szCs w:val="26"/>
          <w14:ligatures w14:val="standardContextual"/>
        </w:rPr>
        <w:t>Per contrastare la sempre maggiore complessità e pervasività delle strategie criminali, la DIA ha indicato come attività di prevenzione l’efficace e tempestiva rilevazione di qualsiasi irregolarità nelle procedure di assegnazione degli appalti nonché l’acquisizione della documentazione antimafia emessa dalle Prefetture.</w:t>
      </w:r>
      <w:r w:rsidRPr="008E2B66">
        <w:rPr>
          <w:rFonts w:ascii="Garamond" w:eastAsiaTheme="minorHAnsi" w:hAnsi="Garamond" w:cs="EBGaramond-Regular"/>
          <w:sz w:val="26"/>
          <w:szCs w:val="26"/>
        </w:rPr>
        <w:t xml:space="preserve"> </w:t>
      </w:r>
      <w:r w:rsidRPr="008E2B66">
        <w:rPr>
          <w:rFonts w:ascii="Garamond" w:eastAsia="Aptos" w:hAnsi="Garamond" w:cs="Arial"/>
          <w:kern w:val="2"/>
          <w:sz w:val="26"/>
          <w:szCs w:val="26"/>
          <w14:ligatures w14:val="standardContextual"/>
        </w:rPr>
        <w:t xml:space="preserve"> La Banca Dati Nazionale Unica della Documentazione Antimafia (BDNA) è una piattaforma informatica alimentata dalle Prefetture che facilita la condivisione rapida e automatica delle informazioni antimafia con le amministrazioni pubbliche, gli enti statali e le aziende sottoposte alla supervisione pubblica. Prima della stipula o dell’autorizzazione di contratti o subappalti relativi a lavori, servizi e forniture, è necessario ottenere la documentazione rilasciata dalla BDNA.</w:t>
      </w:r>
    </w:p>
    <w:p w14:paraId="78E60BA7" w14:textId="77777777" w:rsidR="00FB6989" w:rsidRPr="008E2B66" w:rsidRDefault="00FB6989" w:rsidP="00FB6989">
      <w:pPr>
        <w:spacing w:after="80" w:line="276" w:lineRule="auto"/>
        <w:jc w:val="both"/>
        <w:rPr>
          <w:rFonts w:ascii="Garamond" w:eastAsia="Aptos" w:hAnsi="Garamond" w:cs="Arial"/>
          <w:kern w:val="2"/>
          <w:sz w:val="26"/>
          <w:szCs w:val="26"/>
          <w14:ligatures w14:val="standardContextual"/>
        </w:rPr>
      </w:pPr>
      <w:r w:rsidRPr="008E2B66">
        <w:rPr>
          <w:rFonts w:ascii="Garamond" w:eastAsia="Aptos" w:hAnsi="Garamond" w:cs="Arial"/>
          <w:kern w:val="2"/>
          <w:sz w:val="26"/>
          <w:szCs w:val="26"/>
          <w14:ligatures w14:val="standardContextual"/>
        </w:rPr>
        <w:t>La Relazione evidenzia che la documentazione antimafia emessa dalle Prefetture rappresenta il livello più avanzato di prevenzione amministrativa e mira ad impedire alle imprese infiltrate dalla criminalità organizzata di partecipare agli appalti pubblici.</w:t>
      </w:r>
    </w:p>
    <w:p w14:paraId="2C59F636" w14:textId="77777777" w:rsidR="00FB6989" w:rsidRPr="008E2B66" w:rsidRDefault="00FB6989" w:rsidP="00FB6989">
      <w:pPr>
        <w:spacing w:after="80" w:line="276" w:lineRule="auto"/>
        <w:jc w:val="both"/>
        <w:rPr>
          <w:rFonts w:ascii="Garamond" w:eastAsia="Aptos" w:hAnsi="Garamond" w:cs="Arial"/>
          <w:kern w:val="2"/>
          <w:sz w:val="26"/>
          <w:szCs w:val="26"/>
          <w14:ligatures w14:val="standardContextual"/>
        </w:rPr>
      </w:pPr>
      <w:r w:rsidRPr="008E2B66">
        <w:rPr>
          <w:rFonts w:ascii="Garamond" w:eastAsia="Aptos" w:hAnsi="Garamond" w:cs="Arial"/>
          <w:kern w:val="2"/>
          <w:sz w:val="26"/>
          <w:szCs w:val="26"/>
          <w14:ligatures w14:val="standardContextual"/>
        </w:rPr>
        <w:t>In relazione alla documentazione antimafia occorre richiamare anche i commi 52, 52-bis e 53 dell’articolo 1 della legge 190/2012 che individuano una serie di attività maggiormente esposte a rischio di infiltrazione mafiosa per le quali</w:t>
      </w:r>
      <w:r w:rsidRPr="008E2B66">
        <w:rPr>
          <w:rFonts w:ascii="Garamond" w:eastAsia="Aptos" w:hAnsi="Garamond" w:cs="Arial"/>
          <w:i/>
          <w:iCs/>
          <w:kern w:val="2"/>
          <w:sz w:val="26"/>
          <w:szCs w:val="26"/>
          <w14:ligatures w14:val="standardContextual"/>
        </w:rPr>
        <w:t xml:space="preserve"> </w:t>
      </w:r>
      <w:r w:rsidRPr="008E2B66">
        <w:rPr>
          <w:rFonts w:ascii="Garamond" w:eastAsia="Aptos" w:hAnsi="Garamond" w:cs="Arial"/>
          <w:kern w:val="2"/>
          <w:sz w:val="26"/>
          <w:szCs w:val="26"/>
          <w14:ligatures w14:val="standardContextual"/>
        </w:rPr>
        <w:t>la comunicazione e l'informazione antimafia liberatoria deve essere obbligatoriamente acquisita dai soggetti di cui all'articolo 83 del decreto legislativo 6 settembre 2011, n. 159</w:t>
      </w:r>
      <w:r w:rsidRPr="008E2B66">
        <w:rPr>
          <w:rStyle w:val="Rimandonotaapidipagina"/>
          <w:rFonts w:ascii="Garamond" w:eastAsia="Aptos" w:hAnsi="Garamond" w:cs="Arial"/>
          <w:kern w:val="2"/>
          <w:sz w:val="26"/>
          <w:szCs w:val="26"/>
          <w14:ligatures w14:val="standardContextual"/>
        </w:rPr>
        <w:footnoteReference w:id="2"/>
      </w:r>
      <w:r w:rsidRPr="008E2B66">
        <w:rPr>
          <w:rFonts w:ascii="Garamond" w:eastAsia="Aptos" w:hAnsi="Garamond" w:cs="Arial"/>
          <w:kern w:val="2"/>
          <w:sz w:val="26"/>
          <w:szCs w:val="26"/>
          <w14:ligatures w14:val="standardContextual"/>
        </w:rPr>
        <w:t>, indipendentemente dalle soglie stabilite dal predetto decreto,  attraverso la consultazione, anche in via telematica, di apposito elenco di fornitori, prestatori di servizi ed esecutori di lavori non soggetti a tentativi di infiltrazione mafiosa operanti nei settori indicati al comma 53 dell’art. 1</w:t>
      </w:r>
      <w:r w:rsidRPr="008E2B66">
        <w:rPr>
          <w:rStyle w:val="Rimandonotaapidipagina"/>
          <w:rFonts w:ascii="Garamond" w:eastAsia="Aptos" w:hAnsi="Garamond" w:cs="Arial"/>
          <w:kern w:val="2"/>
          <w:sz w:val="26"/>
          <w:szCs w:val="26"/>
          <w14:ligatures w14:val="standardContextual"/>
        </w:rPr>
        <w:footnoteReference w:id="3"/>
      </w:r>
      <w:r w:rsidRPr="008E2B66">
        <w:rPr>
          <w:rFonts w:ascii="Garamond" w:eastAsia="Aptos" w:hAnsi="Garamond" w:cs="Arial"/>
          <w:kern w:val="2"/>
          <w:sz w:val="26"/>
          <w:szCs w:val="26"/>
          <w14:ligatures w14:val="standardContextual"/>
        </w:rPr>
        <w:t xml:space="preserve">. Il suddetto elenco è istituito presso ogni prefettura e l'iscrizione nell'elenco </w:t>
      </w:r>
      <w:r w:rsidRPr="008E2B66">
        <w:rPr>
          <w:rFonts w:ascii="Garamond" w:eastAsia="Aptos" w:hAnsi="Garamond" w:cs="Arial"/>
          <w:kern w:val="2"/>
          <w:sz w:val="26"/>
          <w:szCs w:val="26"/>
          <w14:ligatures w14:val="standardContextual"/>
        </w:rPr>
        <w:lastRenderedPageBreak/>
        <w:t xml:space="preserve">tiene luogo della comunicazione e dell'informazione antimafia liberatoria anche ai fini della stipula, approvazione o autorizzazione di contratti o subcontratti relativi ad attività diverse da quelle per le quali essa è stata disposta. </w:t>
      </w:r>
    </w:p>
    <w:p w14:paraId="124748DE" w14:textId="77777777" w:rsidR="00FB6989" w:rsidRPr="008E2B66" w:rsidRDefault="00FB6989" w:rsidP="00FB6989">
      <w:pPr>
        <w:spacing w:after="80" w:line="276" w:lineRule="auto"/>
        <w:jc w:val="both"/>
        <w:rPr>
          <w:rFonts w:ascii="Garamond" w:eastAsia="Aptos" w:hAnsi="Garamond" w:cs="Arial"/>
          <w:kern w:val="2"/>
          <w:sz w:val="26"/>
          <w:szCs w:val="26"/>
          <w14:ligatures w14:val="standardContextual"/>
        </w:rPr>
      </w:pPr>
      <w:r w:rsidRPr="008E2B66">
        <w:rPr>
          <w:rFonts w:ascii="Garamond" w:eastAsia="Aptos" w:hAnsi="Garamond" w:cs="Arial"/>
          <w:kern w:val="2"/>
          <w:sz w:val="26"/>
          <w:szCs w:val="26"/>
          <w14:ligatures w14:val="standardContextual"/>
        </w:rPr>
        <w:t>Su tali fronti si è orientata lo scorso anno e continuerà ad orientarsi la strategia di prevenzione della corruzione del CREA predisponendo gli strumenti utili ad informare ed indirizzare l’azione amministrativa interna.</w:t>
      </w:r>
    </w:p>
    <w:p w14:paraId="00111E77" w14:textId="77777777" w:rsidR="004F15F3" w:rsidRPr="008E2B66" w:rsidRDefault="004F15F3" w:rsidP="007B6EC1">
      <w:pPr>
        <w:spacing w:line="360" w:lineRule="auto"/>
        <w:jc w:val="both"/>
        <w:rPr>
          <w:rFonts w:ascii="Garamond" w:eastAsiaTheme="minorEastAsia" w:hAnsi="Garamond" w:cs="Arial"/>
          <w:sz w:val="26"/>
          <w:szCs w:val="26"/>
        </w:rPr>
      </w:pPr>
    </w:p>
    <w:p w14:paraId="5299CD11" w14:textId="60022D05" w:rsidR="00F511A5" w:rsidRPr="008E2B66" w:rsidRDefault="00F511A5" w:rsidP="00F511A5">
      <w:pPr>
        <w:spacing w:after="160" w:line="360" w:lineRule="auto"/>
        <w:jc w:val="both"/>
        <w:rPr>
          <w:rFonts w:ascii="Garamond" w:eastAsia="Aptos" w:hAnsi="Garamond" w:cs="Arial"/>
          <w:b/>
          <w:bCs/>
          <w:kern w:val="2"/>
          <w:sz w:val="26"/>
          <w:szCs w:val="26"/>
          <w14:ligatures w14:val="standardContextual"/>
        </w:rPr>
      </w:pPr>
      <w:r w:rsidRPr="008E2B66">
        <w:rPr>
          <w:rFonts w:ascii="Garamond" w:eastAsia="Aptos" w:hAnsi="Garamond" w:cs="Arial"/>
          <w:b/>
          <w:bCs/>
          <w:kern w:val="2"/>
          <w:sz w:val="26"/>
          <w:szCs w:val="26"/>
          <w14:ligatures w14:val="standardContextual"/>
        </w:rPr>
        <w:t>2.3.</w:t>
      </w:r>
      <w:r w:rsidR="00964C6D" w:rsidRPr="008E2B66">
        <w:rPr>
          <w:rFonts w:ascii="Garamond" w:eastAsia="Aptos" w:hAnsi="Garamond" w:cs="Arial"/>
          <w:b/>
          <w:bCs/>
          <w:kern w:val="2"/>
          <w:sz w:val="26"/>
          <w:szCs w:val="26"/>
          <w14:ligatures w14:val="standardContextual"/>
        </w:rPr>
        <w:t>2.3</w:t>
      </w:r>
      <w:r w:rsidRPr="008E2B66">
        <w:rPr>
          <w:rFonts w:ascii="Garamond" w:eastAsia="Aptos" w:hAnsi="Garamond" w:cs="Arial"/>
          <w:b/>
          <w:bCs/>
          <w:kern w:val="2"/>
          <w:sz w:val="26"/>
          <w:szCs w:val="26"/>
          <w14:ligatures w14:val="standardContextual"/>
        </w:rPr>
        <w:t>. Analisi del contesto interno</w:t>
      </w:r>
    </w:p>
    <w:p w14:paraId="715CD772" w14:textId="209D17EF" w:rsidR="00F511A5" w:rsidRPr="008E2B66" w:rsidRDefault="00F511A5" w:rsidP="001E1540">
      <w:pPr>
        <w:spacing w:after="80" w:line="276" w:lineRule="auto"/>
        <w:jc w:val="both"/>
        <w:rPr>
          <w:rFonts w:ascii="Garamond" w:eastAsia="Aptos" w:hAnsi="Garamond" w:cs="Arial"/>
          <w:kern w:val="2"/>
          <w:sz w:val="26"/>
          <w:szCs w:val="26"/>
          <w14:ligatures w14:val="standardContextual"/>
        </w:rPr>
      </w:pPr>
      <w:r w:rsidRPr="008E2B66">
        <w:rPr>
          <w:rFonts w:ascii="Garamond" w:eastAsia="Aptos" w:hAnsi="Garamond" w:cs="Arial"/>
          <w:kern w:val="2"/>
          <w:sz w:val="26"/>
          <w:szCs w:val="26"/>
          <w14:ligatures w14:val="standardContextual"/>
        </w:rPr>
        <w:t xml:space="preserve">L’analisi del contesto interno </w:t>
      </w:r>
      <w:r w:rsidR="00F01F8A">
        <w:rPr>
          <w:rFonts w:ascii="Garamond" w:eastAsia="Aptos" w:hAnsi="Garamond" w:cs="Arial"/>
          <w:kern w:val="2"/>
          <w:sz w:val="26"/>
          <w:szCs w:val="26"/>
          <w14:ligatures w14:val="standardContextual"/>
        </w:rPr>
        <w:t>riguarda</w:t>
      </w:r>
      <w:r w:rsidRPr="008E2B66">
        <w:rPr>
          <w:rFonts w:ascii="Garamond" w:eastAsia="Aptos" w:hAnsi="Garamond" w:cs="Arial"/>
          <w:kern w:val="2"/>
          <w:sz w:val="26"/>
          <w:szCs w:val="26"/>
          <w14:ligatures w14:val="standardContextual"/>
        </w:rPr>
        <w:t xml:space="preserve"> prioritariamente la mappatura dei processi ossia la rilevazione e l’analisi dei processi organizzativi individuati nelle fasi o attività di cui si compongono e a cui sono connesse responsabilità; attesa la strutturazione del CREA, la mappatura deve riguardare sia le attribuzioni amministrative degli Uffici centrali che quelle delle strutture periferiche.</w:t>
      </w:r>
    </w:p>
    <w:p w14:paraId="061C8019" w14:textId="7846715C" w:rsidR="00DA54CF" w:rsidRDefault="00DA54CF" w:rsidP="001E1540">
      <w:pPr>
        <w:spacing w:after="80" w:line="276" w:lineRule="auto"/>
        <w:jc w:val="both"/>
        <w:rPr>
          <w:rFonts w:ascii="Garamond" w:eastAsia="Aptos" w:hAnsi="Garamond" w:cs="Arial"/>
          <w:kern w:val="2"/>
          <w:sz w:val="26"/>
          <w:szCs w:val="26"/>
          <w14:ligatures w14:val="standardContextual"/>
        </w:rPr>
      </w:pPr>
      <w:r>
        <w:rPr>
          <w:rFonts w:ascii="Garamond" w:eastAsia="Aptos" w:hAnsi="Garamond" w:cs="Arial"/>
          <w:kern w:val="2"/>
          <w:sz w:val="26"/>
          <w:szCs w:val="26"/>
          <w14:ligatures w14:val="standardContextual"/>
        </w:rPr>
        <w:t>Tale</w:t>
      </w:r>
      <w:r w:rsidR="00F511A5" w:rsidRPr="008E2B66">
        <w:rPr>
          <w:rFonts w:ascii="Garamond" w:eastAsia="Aptos" w:hAnsi="Garamond" w:cs="Arial"/>
          <w:kern w:val="2"/>
          <w:sz w:val="26"/>
          <w:szCs w:val="26"/>
          <w14:ligatures w14:val="standardContextual"/>
        </w:rPr>
        <w:t xml:space="preserve"> mappatura, conclusa nel </w:t>
      </w:r>
      <w:r w:rsidR="00F511A5" w:rsidRPr="00BD2F19">
        <w:rPr>
          <w:rFonts w:ascii="Garamond" w:eastAsia="Aptos" w:hAnsi="Garamond" w:cs="Arial"/>
          <w:kern w:val="2"/>
          <w:sz w:val="26"/>
          <w:szCs w:val="26"/>
          <w14:ligatures w14:val="standardContextual"/>
        </w:rPr>
        <w:t xml:space="preserve">2020 </w:t>
      </w:r>
      <w:r w:rsidRPr="00BD2F19">
        <w:rPr>
          <w:rFonts w:ascii="Garamond" w:eastAsia="Aptos" w:hAnsi="Garamond" w:cs="Arial"/>
          <w:kern w:val="2"/>
          <w:sz w:val="26"/>
          <w:szCs w:val="26"/>
          <w14:ligatures w14:val="standardContextual"/>
        </w:rPr>
        <w:t xml:space="preserve">in riferimento </w:t>
      </w:r>
      <w:r w:rsidR="00F511A5" w:rsidRPr="00BD2F19">
        <w:rPr>
          <w:rFonts w:ascii="Garamond" w:eastAsia="Aptos" w:hAnsi="Garamond" w:cs="Arial"/>
          <w:kern w:val="2"/>
          <w:sz w:val="26"/>
          <w:szCs w:val="26"/>
          <w14:ligatures w14:val="standardContextual"/>
        </w:rPr>
        <w:t xml:space="preserve">agli </w:t>
      </w:r>
      <w:r w:rsidR="0018053D" w:rsidRPr="00BD2F19">
        <w:rPr>
          <w:rFonts w:ascii="Garamond" w:eastAsia="Aptos" w:hAnsi="Garamond" w:cs="Arial"/>
          <w:kern w:val="2"/>
          <w:sz w:val="26"/>
          <w:szCs w:val="26"/>
          <w14:ligatures w14:val="standardContextual"/>
        </w:rPr>
        <w:t>U</w:t>
      </w:r>
      <w:r w:rsidR="00F511A5" w:rsidRPr="00BD2F19">
        <w:rPr>
          <w:rFonts w:ascii="Garamond" w:eastAsia="Aptos" w:hAnsi="Garamond" w:cs="Arial"/>
          <w:kern w:val="2"/>
          <w:sz w:val="26"/>
          <w:szCs w:val="26"/>
          <w14:ligatures w14:val="standardContextual"/>
        </w:rPr>
        <w:t>ffici</w:t>
      </w:r>
      <w:r w:rsidR="00F01F8A">
        <w:rPr>
          <w:rFonts w:ascii="Garamond" w:eastAsia="Aptos" w:hAnsi="Garamond" w:cs="Arial"/>
          <w:kern w:val="2"/>
          <w:sz w:val="26"/>
          <w:szCs w:val="26"/>
          <w14:ligatures w14:val="standardContextual"/>
        </w:rPr>
        <w:t xml:space="preserve"> dell’Amministrazione centrale</w:t>
      </w:r>
      <w:r w:rsidR="00F511A5" w:rsidRPr="008E2B66">
        <w:rPr>
          <w:rFonts w:ascii="Garamond" w:eastAsia="Aptos" w:hAnsi="Garamond" w:cs="Arial"/>
          <w:kern w:val="2"/>
          <w:sz w:val="26"/>
          <w:szCs w:val="26"/>
          <w14:ligatures w14:val="standardContextual"/>
        </w:rPr>
        <w:t xml:space="preserve">, </w:t>
      </w:r>
      <w:r>
        <w:rPr>
          <w:rFonts w:ascii="Garamond" w:eastAsia="Aptos" w:hAnsi="Garamond" w:cs="Arial"/>
          <w:kern w:val="2"/>
          <w:sz w:val="26"/>
          <w:szCs w:val="26"/>
          <w14:ligatures w14:val="standardContextual"/>
        </w:rPr>
        <w:t>fu</w:t>
      </w:r>
      <w:r w:rsidR="00F511A5" w:rsidRPr="008E2B66">
        <w:rPr>
          <w:rFonts w:ascii="Garamond" w:eastAsia="Aptos" w:hAnsi="Garamond" w:cs="Arial"/>
          <w:kern w:val="2"/>
          <w:sz w:val="26"/>
          <w:szCs w:val="26"/>
          <w14:ligatures w14:val="standardContextual"/>
        </w:rPr>
        <w:t xml:space="preserve"> inserita nel </w:t>
      </w:r>
      <w:hyperlink r:id="rId10" w:history="1">
        <w:r w:rsidR="00F511A5" w:rsidRPr="008E2B66">
          <w:rPr>
            <w:rStyle w:val="Collegamentoipertestuale"/>
            <w:rFonts w:ascii="Garamond" w:eastAsia="Aptos" w:hAnsi="Garamond" w:cs="Arial"/>
            <w:kern w:val="2"/>
            <w:sz w:val="26"/>
            <w:szCs w:val="26"/>
            <w14:ligatures w14:val="standardContextual"/>
          </w:rPr>
          <w:t>PTPC 2021</w:t>
        </w:r>
        <w:r>
          <w:rPr>
            <w:rStyle w:val="Collegamentoipertestuale"/>
            <w:rFonts w:ascii="Garamond" w:eastAsia="Aptos" w:hAnsi="Garamond" w:cs="Arial"/>
            <w:kern w:val="2"/>
            <w:sz w:val="26"/>
            <w:szCs w:val="26"/>
            <w14:ligatures w14:val="standardContextual"/>
          </w:rPr>
          <w:t>/</w:t>
        </w:r>
        <w:r w:rsidR="00F511A5" w:rsidRPr="008E2B66">
          <w:rPr>
            <w:rStyle w:val="Collegamentoipertestuale"/>
            <w:rFonts w:ascii="Garamond" w:eastAsia="Aptos" w:hAnsi="Garamond" w:cs="Arial"/>
            <w:kern w:val="2"/>
            <w:sz w:val="26"/>
            <w:szCs w:val="26"/>
            <w14:ligatures w14:val="standardContextual"/>
          </w:rPr>
          <w:t>2023</w:t>
        </w:r>
      </w:hyperlink>
      <w:r w:rsidR="00F511A5" w:rsidRPr="008E2B66">
        <w:rPr>
          <w:rFonts w:ascii="Garamond" w:eastAsia="Aptos" w:hAnsi="Garamond" w:cs="Arial"/>
          <w:kern w:val="2"/>
          <w:sz w:val="26"/>
          <w:szCs w:val="26"/>
          <w14:ligatures w14:val="standardContextual"/>
        </w:rPr>
        <w:t>. Considerata, inoltre, la corrispondenza delle attività amministrative svolte dai Centri di ricerca, la mappatura venne riversata sulle attività dei Centri.</w:t>
      </w:r>
    </w:p>
    <w:p w14:paraId="4B4FEB1B" w14:textId="209819A5" w:rsidR="009C366C" w:rsidRPr="008E2B66" w:rsidRDefault="0021792E" w:rsidP="001E1540">
      <w:pPr>
        <w:spacing w:after="80" w:line="276" w:lineRule="auto"/>
        <w:jc w:val="both"/>
        <w:rPr>
          <w:rFonts w:ascii="Garamond" w:eastAsia="Aptos" w:hAnsi="Garamond" w:cs="Arial"/>
          <w:kern w:val="2"/>
          <w:sz w:val="26"/>
          <w:szCs w:val="26"/>
          <w14:ligatures w14:val="standardContextual"/>
        </w:rPr>
      </w:pPr>
      <w:r w:rsidRPr="008E2B66">
        <w:rPr>
          <w:rFonts w:ascii="Garamond" w:eastAsia="Aptos" w:hAnsi="Garamond" w:cs="Arial"/>
          <w:kern w:val="2"/>
          <w:sz w:val="26"/>
          <w:szCs w:val="26"/>
          <w14:ligatures w14:val="standardContextual"/>
        </w:rPr>
        <w:t>La predetta</w:t>
      </w:r>
      <w:r w:rsidR="00F01F8A">
        <w:rPr>
          <w:rFonts w:ascii="Garamond" w:eastAsia="Aptos" w:hAnsi="Garamond" w:cs="Arial"/>
          <w:kern w:val="2"/>
          <w:sz w:val="26"/>
          <w:szCs w:val="26"/>
          <w14:ligatures w14:val="standardContextual"/>
        </w:rPr>
        <w:t xml:space="preserve"> mappatura</w:t>
      </w:r>
      <w:r w:rsidRPr="008E2B66">
        <w:rPr>
          <w:rFonts w:ascii="Garamond" w:eastAsia="Aptos" w:hAnsi="Garamond" w:cs="Arial"/>
          <w:kern w:val="2"/>
          <w:sz w:val="26"/>
          <w:szCs w:val="26"/>
          <w14:ligatures w14:val="standardContextual"/>
        </w:rPr>
        <w:t xml:space="preserve">, </w:t>
      </w:r>
      <w:r w:rsidR="00817AF5" w:rsidRPr="008E2B66">
        <w:rPr>
          <w:rFonts w:ascii="Garamond" w:eastAsia="Aptos" w:hAnsi="Garamond" w:cs="Arial"/>
          <w:kern w:val="2"/>
          <w:sz w:val="26"/>
          <w:szCs w:val="26"/>
          <w14:ligatures w14:val="standardContextual"/>
        </w:rPr>
        <w:t>tuttavia</w:t>
      </w:r>
      <w:r w:rsidRPr="008E2B66">
        <w:rPr>
          <w:rFonts w:ascii="Garamond" w:eastAsia="Aptos" w:hAnsi="Garamond" w:cs="Arial"/>
          <w:kern w:val="2"/>
          <w:sz w:val="26"/>
          <w:szCs w:val="26"/>
          <w14:ligatures w14:val="standardContextual"/>
        </w:rPr>
        <w:t xml:space="preserve">, è stata oggetto di alcune modifiche/rimodulazioni </w:t>
      </w:r>
      <w:r w:rsidR="007D0875" w:rsidRPr="008E2B66">
        <w:rPr>
          <w:rFonts w:ascii="Garamond" w:eastAsia="Aptos" w:hAnsi="Garamond" w:cs="Arial"/>
          <w:kern w:val="2"/>
          <w:sz w:val="26"/>
          <w:szCs w:val="26"/>
          <w14:ligatures w14:val="standardContextual"/>
        </w:rPr>
        <w:t>a seguito</w:t>
      </w:r>
      <w:r w:rsidRPr="008E2B66">
        <w:rPr>
          <w:rFonts w:ascii="Garamond" w:eastAsia="Aptos" w:hAnsi="Garamond" w:cs="Arial"/>
          <w:kern w:val="2"/>
          <w:sz w:val="26"/>
          <w:szCs w:val="26"/>
          <w14:ligatures w14:val="standardContextual"/>
        </w:rPr>
        <w:t xml:space="preserve"> dei monitoraggi effettuati</w:t>
      </w:r>
      <w:r w:rsidR="007D0875" w:rsidRPr="008E2B66">
        <w:rPr>
          <w:rFonts w:ascii="Garamond" w:eastAsia="Aptos" w:hAnsi="Garamond" w:cs="Arial"/>
          <w:kern w:val="2"/>
          <w:sz w:val="26"/>
          <w:szCs w:val="26"/>
          <w14:ligatures w14:val="standardContextual"/>
        </w:rPr>
        <w:t xml:space="preserve"> </w:t>
      </w:r>
      <w:r w:rsidR="000F0BE2" w:rsidRPr="008E2B66">
        <w:rPr>
          <w:rFonts w:ascii="Garamond" w:eastAsia="Aptos" w:hAnsi="Garamond" w:cs="Arial"/>
          <w:kern w:val="2"/>
          <w:sz w:val="26"/>
          <w:szCs w:val="26"/>
          <w14:ligatures w14:val="standardContextual"/>
        </w:rPr>
        <w:t xml:space="preserve">negli anni </w:t>
      </w:r>
      <w:r w:rsidR="007D0875" w:rsidRPr="008E2B66">
        <w:rPr>
          <w:rFonts w:ascii="Garamond" w:eastAsia="Aptos" w:hAnsi="Garamond" w:cs="Arial"/>
          <w:kern w:val="2"/>
          <w:sz w:val="26"/>
          <w:szCs w:val="26"/>
          <w14:ligatures w14:val="standardContextual"/>
        </w:rPr>
        <w:t>e di interlocuzioni con gli Uffici interessati</w:t>
      </w:r>
      <w:r w:rsidRPr="008E2B66">
        <w:rPr>
          <w:rFonts w:ascii="Garamond" w:eastAsia="Aptos" w:hAnsi="Garamond" w:cs="Arial"/>
          <w:kern w:val="2"/>
          <w:sz w:val="26"/>
          <w:szCs w:val="26"/>
          <w14:ligatures w14:val="standardContextual"/>
        </w:rPr>
        <w:t>.</w:t>
      </w:r>
    </w:p>
    <w:p w14:paraId="0F9AC366" w14:textId="726EBECD" w:rsidR="00DA54CF" w:rsidRDefault="00A221C3" w:rsidP="001E1540">
      <w:pPr>
        <w:spacing w:after="80" w:line="276" w:lineRule="auto"/>
        <w:jc w:val="both"/>
        <w:rPr>
          <w:rFonts w:ascii="Garamond" w:eastAsia="Aptos" w:hAnsi="Garamond" w:cs="Arial"/>
          <w:kern w:val="2"/>
          <w:sz w:val="26"/>
          <w:szCs w:val="26"/>
          <w14:ligatures w14:val="standardContextual"/>
        </w:rPr>
      </w:pPr>
      <w:bookmarkStart w:id="1" w:name="_Hlk180573821"/>
      <w:r w:rsidRPr="008E2B66">
        <w:rPr>
          <w:rFonts w:ascii="Garamond" w:eastAsia="Aptos" w:hAnsi="Garamond" w:cs="Arial"/>
          <w:kern w:val="2"/>
          <w:sz w:val="26"/>
          <w:szCs w:val="26"/>
          <w14:ligatures w14:val="standardContextual"/>
        </w:rPr>
        <w:t>A</w:t>
      </w:r>
      <w:r w:rsidR="00F511A5" w:rsidRPr="008E2B66">
        <w:rPr>
          <w:rFonts w:ascii="Garamond" w:eastAsia="Aptos" w:hAnsi="Garamond" w:cs="Arial"/>
          <w:kern w:val="2"/>
          <w:sz w:val="26"/>
          <w:szCs w:val="26"/>
          <w14:ligatures w14:val="standardContextual"/>
        </w:rPr>
        <w:t xml:space="preserve">i fini di una nuova mappatura dei </w:t>
      </w:r>
      <w:r w:rsidR="000E7DE0" w:rsidRPr="008E2B66">
        <w:rPr>
          <w:rFonts w:ascii="Garamond" w:eastAsia="Aptos" w:hAnsi="Garamond" w:cs="Arial"/>
          <w:kern w:val="2"/>
          <w:sz w:val="26"/>
          <w:szCs w:val="26"/>
          <w14:ligatures w14:val="standardContextual"/>
        </w:rPr>
        <w:t>processi</w:t>
      </w:r>
      <w:r w:rsidR="00DA54CF">
        <w:rPr>
          <w:rFonts w:ascii="Garamond" w:eastAsia="Aptos" w:hAnsi="Garamond" w:cs="Arial"/>
          <w:kern w:val="2"/>
          <w:sz w:val="26"/>
          <w:szCs w:val="26"/>
          <w14:ligatures w14:val="standardContextual"/>
        </w:rPr>
        <w:t xml:space="preserve"> - </w:t>
      </w:r>
      <w:r w:rsidR="00671158" w:rsidRPr="008E2B66">
        <w:rPr>
          <w:rFonts w:ascii="Garamond" w:eastAsia="Aptos" w:hAnsi="Garamond" w:cs="Arial"/>
          <w:kern w:val="2"/>
          <w:sz w:val="26"/>
          <w:szCs w:val="26"/>
          <w14:ligatures w14:val="standardContextual"/>
        </w:rPr>
        <w:t xml:space="preserve">secondo </w:t>
      </w:r>
      <w:r w:rsidR="001E1E76" w:rsidRPr="008E2B66">
        <w:rPr>
          <w:rFonts w:ascii="Garamond" w:eastAsia="Aptos" w:hAnsi="Garamond" w:cs="Arial"/>
          <w:kern w:val="2"/>
          <w:sz w:val="26"/>
          <w:szCs w:val="26"/>
          <w14:ligatures w14:val="standardContextual"/>
        </w:rPr>
        <w:t xml:space="preserve">gli indirizzi </w:t>
      </w:r>
      <w:r w:rsidR="00671158" w:rsidRPr="008E2B66">
        <w:rPr>
          <w:rFonts w:ascii="Garamond" w:eastAsia="Aptos" w:hAnsi="Garamond" w:cs="Arial"/>
          <w:kern w:val="2"/>
          <w:sz w:val="26"/>
          <w:szCs w:val="26"/>
          <w14:ligatures w14:val="standardContextual"/>
        </w:rPr>
        <w:t>ANAC</w:t>
      </w:r>
      <w:r w:rsidR="001E1E76" w:rsidRPr="008E2B66">
        <w:rPr>
          <w:rFonts w:ascii="Garamond" w:eastAsia="Aptos" w:hAnsi="Garamond" w:cs="Arial"/>
          <w:kern w:val="2"/>
          <w:sz w:val="26"/>
          <w:szCs w:val="26"/>
          <w14:ligatures w14:val="standardContextual"/>
        </w:rPr>
        <w:t xml:space="preserve"> contenuti nel PNA 2022</w:t>
      </w:r>
      <w:r w:rsidR="001E1E76" w:rsidRPr="008E2B66">
        <w:rPr>
          <w:rStyle w:val="Rimandonotaapidipagina"/>
          <w:rFonts w:ascii="Garamond" w:eastAsia="Aptos" w:hAnsi="Garamond" w:cs="Arial"/>
          <w:kern w:val="2"/>
          <w:sz w:val="26"/>
          <w:szCs w:val="26"/>
          <w14:ligatures w14:val="standardContextual"/>
        </w:rPr>
        <w:footnoteReference w:id="4"/>
      </w:r>
      <w:r w:rsidR="00DA54CF">
        <w:rPr>
          <w:rFonts w:ascii="Garamond" w:eastAsia="Aptos" w:hAnsi="Garamond" w:cs="Arial"/>
          <w:kern w:val="2"/>
          <w:sz w:val="26"/>
          <w:szCs w:val="26"/>
          <w14:ligatures w14:val="standardContextual"/>
        </w:rPr>
        <w:t xml:space="preserve"> - </w:t>
      </w:r>
      <w:r w:rsidR="00671158" w:rsidRPr="008E2B66">
        <w:rPr>
          <w:rFonts w:ascii="Garamond" w:eastAsia="Aptos" w:hAnsi="Garamond" w:cs="Arial"/>
          <w:kern w:val="2"/>
          <w:sz w:val="26"/>
          <w:szCs w:val="26"/>
          <w14:ligatures w14:val="standardContextual"/>
        </w:rPr>
        <w:t>è</w:t>
      </w:r>
      <w:r w:rsidRPr="008E2B66">
        <w:rPr>
          <w:rFonts w:ascii="Garamond" w:eastAsia="Aptos" w:hAnsi="Garamond" w:cs="Arial"/>
          <w:kern w:val="2"/>
          <w:sz w:val="26"/>
          <w:szCs w:val="26"/>
          <w14:ligatures w14:val="standardContextual"/>
        </w:rPr>
        <w:t xml:space="preserve"> necessario</w:t>
      </w:r>
      <w:r w:rsidR="00F511A5" w:rsidRPr="008E2B66">
        <w:rPr>
          <w:rFonts w:ascii="Garamond" w:eastAsia="Aptos" w:hAnsi="Garamond" w:cs="Arial"/>
          <w:kern w:val="2"/>
          <w:sz w:val="26"/>
          <w:szCs w:val="26"/>
          <w14:ligatures w14:val="standardContextual"/>
        </w:rPr>
        <w:t xml:space="preserve"> attendere la realizzazione delle modifiche organizzative che interverranno per </w:t>
      </w:r>
      <w:r w:rsidR="006727A1" w:rsidRPr="008E2B66">
        <w:rPr>
          <w:rFonts w:ascii="Garamond" w:eastAsia="Aptos" w:hAnsi="Garamond" w:cs="Arial"/>
          <w:kern w:val="2"/>
          <w:sz w:val="26"/>
          <w:szCs w:val="26"/>
          <w14:ligatures w14:val="standardContextual"/>
        </w:rPr>
        <w:t>gli effetti</w:t>
      </w:r>
      <w:r w:rsidR="00F511A5" w:rsidRPr="008E2B66">
        <w:rPr>
          <w:rFonts w:ascii="Garamond" w:eastAsia="Aptos" w:hAnsi="Garamond" w:cs="Arial"/>
          <w:kern w:val="2"/>
          <w:sz w:val="26"/>
          <w:szCs w:val="26"/>
          <w14:ligatures w14:val="standardContextual"/>
        </w:rPr>
        <w:t xml:space="preserve"> che le stesse necessariamente avranno sulle attività. </w:t>
      </w:r>
      <w:r w:rsidR="00AC4B3D" w:rsidRPr="008E2B66">
        <w:rPr>
          <w:rFonts w:ascii="Garamond" w:eastAsia="Aptos" w:hAnsi="Garamond" w:cs="Arial"/>
          <w:kern w:val="2"/>
          <w:sz w:val="26"/>
          <w:szCs w:val="26"/>
          <w14:ligatures w14:val="standardContextual"/>
        </w:rPr>
        <w:t xml:space="preserve"> </w:t>
      </w:r>
      <w:r w:rsidR="00DA54CF">
        <w:rPr>
          <w:rFonts w:ascii="Garamond" w:eastAsia="Aptos" w:hAnsi="Garamond" w:cs="Arial"/>
          <w:kern w:val="2"/>
          <w:sz w:val="26"/>
          <w:szCs w:val="26"/>
          <w14:ligatures w14:val="standardContextual"/>
        </w:rPr>
        <w:t>Considerata</w:t>
      </w:r>
      <w:r w:rsidR="001F2D3C" w:rsidRPr="008E2B66">
        <w:rPr>
          <w:rFonts w:ascii="Garamond" w:eastAsia="Aptos" w:hAnsi="Garamond" w:cs="Arial"/>
          <w:kern w:val="2"/>
          <w:sz w:val="26"/>
          <w:szCs w:val="26"/>
          <w14:ligatures w14:val="standardContextual"/>
        </w:rPr>
        <w:t xml:space="preserve"> tuttavia,</w:t>
      </w:r>
      <w:r w:rsidR="00671158" w:rsidRPr="008E2B66">
        <w:rPr>
          <w:rFonts w:ascii="Garamond" w:eastAsia="Aptos" w:hAnsi="Garamond" w:cs="Arial"/>
          <w:kern w:val="2"/>
          <w:sz w:val="26"/>
          <w:szCs w:val="26"/>
          <w14:ligatures w14:val="standardContextual"/>
        </w:rPr>
        <w:t xml:space="preserve"> </w:t>
      </w:r>
      <w:r w:rsidR="000E7DE0" w:rsidRPr="008E2B66">
        <w:rPr>
          <w:rFonts w:ascii="Garamond" w:eastAsia="Aptos" w:hAnsi="Garamond" w:cs="Arial"/>
          <w:kern w:val="2"/>
          <w:sz w:val="26"/>
          <w:szCs w:val="26"/>
          <w14:ligatures w14:val="standardContextual"/>
        </w:rPr>
        <w:t xml:space="preserve">la raccomandazione </w:t>
      </w:r>
      <w:r w:rsidR="00DA54CF">
        <w:rPr>
          <w:rFonts w:ascii="Garamond" w:eastAsia="Aptos" w:hAnsi="Garamond" w:cs="Arial"/>
          <w:kern w:val="2"/>
          <w:sz w:val="26"/>
          <w:szCs w:val="26"/>
          <w14:ligatures w14:val="standardContextual"/>
        </w:rPr>
        <w:t xml:space="preserve">da parte </w:t>
      </w:r>
      <w:r w:rsidR="000E7DE0" w:rsidRPr="008E2B66">
        <w:rPr>
          <w:rFonts w:ascii="Garamond" w:eastAsia="Aptos" w:hAnsi="Garamond" w:cs="Arial"/>
          <w:kern w:val="2"/>
          <w:sz w:val="26"/>
          <w:szCs w:val="26"/>
          <w14:ligatures w14:val="standardContextual"/>
        </w:rPr>
        <w:t>dell’</w:t>
      </w:r>
      <w:r w:rsidR="00DA54CF">
        <w:rPr>
          <w:rFonts w:ascii="Garamond" w:eastAsia="Aptos" w:hAnsi="Garamond" w:cs="Arial"/>
          <w:kern w:val="2"/>
          <w:sz w:val="26"/>
          <w:szCs w:val="26"/>
          <w14:ligatures w14:val="standardContextual"/>
        </w:rPr>
        <w:t xml:space="preserve">ANAC - </w:t>
      </w:r>
      <w:r w:rsidR="00136415" w:rsidRPr="008E2B66">
        <w:rPr>
          <w:rFonts w:ascii="Garamond" w:eastAsia="Aptos" w:hAnsi="Garamond" w:cs="Arial"/>
          <w:kern w:val="2"/>
          <w:sz w:val="26"/>
          <w:szCs w:val="26"/>
          <w14:ligatures w14:val="standardContextual"/>
        </w:rPr>
        <w:t xml:space="preserve">di </w:t>
      </w:r>
      <w:r w:rsidR="00DA54CF">
        <w:rPr>
          <w:rFonts w:ascii="Garamond" w:eastAsia="Aptos" w:hAnsi="Garamond" w:cs="Arial"/>
          <w:kern w:val="2"/>
          <w:sz w:val="26"/>
          <w:szCs w:val="26"/>
          <w14:ligatures w14:val="standardContextual"/>
        </w:rPr>
        <w:t>“</w:t>
      </w:r>
      <w:r w:rsidR="00136415" w:rsidRPr="008E2B66">
        <w:rPr>
          <w:rFonts w:ascii="Garamond" w:eastAsia="Aptos" w:hAnsi="Garamond" w:cs="Arial"/>
          <w:kern w:val="2"/>
          <w:sz w:val="26"/>
          <w:szCs w:val="26"/>
          <w14:ligatures w14:val="standardContextual"/>
        </w:rPr>
        <w:t>mappare</w:t>
      </w:r>
      <w:r w:rsidR="00DA54CF">
        <w:rPr>
          <w:rFonts w:ascii="Garamond" w:eastAsia="Aptos" w:hAnsi="Garamond" w:cs="Arial"/>
          <w:kern w:val="2"/>
          <w:sz w:val="26"/>
          <w:szCs w:val="26"/>
          <w14:ligatures w14:val="standardContextual"/>
        </w:rPr>
        <w:t>”</w:t>
      </w:r>
      <w:r w:rsidR="00136415" w:rsidRPr="008E2B66">
        <w:rPr>
          <w:rFonts w:ascii="Garamond" w:eastAsia="Aptos" w:hAnsi="Garamond" w:cs="Arial"/>
          <w:kern w:val="2"/>
          <w:sz w:val="26"/>
          <w:szCs w:val="26"/>
          <w14:ligatures w14:val="standardContextual"/>
        </w:rPr>
        <w:t xml:space="preserve"> i</w:t>
      </w:r>
      <w:r w:rsidR="00886E71" w:rsidRPr="008E2B66">
        <w:rPr>
          <w:rFonts w:ascii="Garamond" w:eastAsia="Aptos" w:hAnsi="Garamond" w:cs="Arial"/>
          <w:kern w:val="2"/>
          <w:sz w:val="26"/>
          <w:szCs w:val="26"/>
          <w14:ligatures w14:val="standardContextual"/>
        </w:rPr>
        <w:t>n</w:t>
      </w:r>
      <w:r w:rsidR="00136415" w:rsidRPr="008E2B66">
        <w:rPr>
          <w:rFonts w:ascii="Garamond" w:eastAsia="Aptos" w:hAnsi="Garamond" w:cs="Arial"/>
          <w:kern w:val="2"/>
          <w:sz w:val="26"/>
          <w:szCs w:val="26"/>
          <w14:ligatures w14:val="standardContextual"/>
        </w:rPr>
        <w:t xml:space="preserve"> via prioritaria i </w:t>
      </w:r>
      <w:r w:rsidR="000E7DE0" w:rsidRPr="008E2B66">
        <w:rPr>
          <w:rFonts w:ascii="Garamond" w:eastAsia="Aptos" w:hAnsi="Garamond" w:cs="Arial"/>
          <w:kern w:val="2"/>
          <w:sz w:val="26"/>
          <w:szCs w:val="26"/>
          <w14:ligatures w14:val="standardContextual"/>
        </w:rPr>
        <w:t>processi in cui sono gestite risorse finanziarie del PNRR e dei fondi strutturali,</w:t>
      </w:r>
      <w:r w:rsidR="00DA54CF">
        <w:rPr>
          <w:rFonts w:ascii="Garamond" w:eastAsia="Aptos" w:hAnsi="Garamond" w:cs="Arial"/>
          <w:kern w:val="2"/>
          <w:sz w:val="26"/>
          <w:szCs w:val="26"/>
          <w14:ligatures w14:val="standardContextual"/>
        </w:rPr>
        <w:t xml:space="preserve"> è stato riesaminato,</w:t>
      </w:r>
      <w:r w:rsidR="000E7DE0" w:rsidRPr="008E2B66">
        <w:rPr>
          <w:rFonts w:ascii="Garamond" w:eastAsia="Aptos" w:hAnsi="Garamond" w:cs="Arial"/>
          <w:kern w:val="2"/>
          <w:sz w:val="26"/>
          <w:szCs w:val="26"/>
          <w14:ligatures w14:val="standardContextual"/>
        </w:rPr>
        <w:t xml:space="preserve"> </w:t>
      </w:r>
      <w:r w:rsidR="003A171D" w:rsidRPr="008E2B66">
        <w:rPr>
          <w:rFonts w:ascii="Garamond" w:eastAsia="Aptos" w:hAnsi="Garamond" w:cs="Arial"/>
          <w:kern w:val="2"/>
          <w:sz w:val="26"/>
          <w:szCs w:val="26"/>
          <w14:ligatures w14:val="standardContextual"/>
        </w:rPr>
        <w:t>con l’</w:t>
      </w:r>
      <w:r w:rsidR="000E7DE0" w:rsidRPr="008E2B66">
        <w:rPr>
          <w:rFonts w:ascii="Garamond" w:eastAsia="Aptos" w:hAnsi="Garamond" w:cs="Arial"/>
          <w:kern w:val="2"/>
          <w:sz w:val="26"/>
          <w:szCs w:val="26"/>
          <w14:ligatures w14:val="standardContextual"/>
        </w:rPr>
        <w:t xml:space="preserve">Ufficio </w:t>
      </w:r>
      <w:r w:rsidR="000E7DE0" w:rsidRPr="00DA54CF">
        <w:rPr>
          <w:rFonts w:ascii="Garamond" w:eastAsia="Aptos" w:hAnsi="Garamond" w:cs="Arial"/>
          <w:i/>
          <w:iCs/>
          <w:kern w:val="2"/>
          <w:sz w:val="26"/>
          <w:szCs w:val="26"/>
          <w14:ligatures w14:val="standardContextual"/>
        </w:rPr>
        <w:t>Progetti</w:t>
      </w:r>
      <w:r w:rsidR="001C73EE" w:rsidRPr="00DA54CF">
        <w:rPr>
          <w:rFonts w:ascii="Garamond" w:eastAsia="Aptos" w:hAnsi="Garamond" w:cs="Arial"/>
          <w:i/>
          <w:iCs/>
          <w:kern w:val="2"/>
          <w:sz w:val="26"/>
          <w:szCs w:val="26"/>
          <w14:ligatures w14:val="standardContextual"/>
        </w:rPr>
        <w:t>-UDG3</w:t>
      </w:r>
      <w:bookmarkStart w:id="2" w:name="_Hlk183612766"/>
      <w:r w:rsidR="00DA54CF">
        <w:rPr>
          <w:rFonts w:ascii="Garamond" w:eastAsia="Aptos" w:hAnsi="Garamond" w:cs="Arial"/>
          <w:kern w:val="2"/>
          <w:sz w:val="26"/>
          <w:szCs w:val="26"/>
          <w14:ligatures w14:val="standardContextual"/>
        </w:rPr>
        <w:t xml:space="preserve"> il sottoprocesso in capo al</w:t>
      </w:r>
      <w:r w:rsidR="00C02587">
        <w:rPr>
          <w:rFonts w:ascii="Garamond" w:eastAsia="Aptos" w:hAnsi="Garamond" w:cs="Arial"/>
          <w:kern w:val="2"/>
          <w:sz w:val="26"/>
          <w:szCs w:val="26"/>
          <w14:ligatures w14:val="standardContextual"/>
        </w:rPr>
        <w:t>l</w:t>
      </w:r>
      <w:r w:rsidR="00DA54CF">
        <w:rPr>
          <w:rFonts w:ascii="Garamond" w:eastAsia="Aptos" w:hAnsi="Garamond" w:cs="Arial"/>
          <w:kern w:val="2"/>
          <w:sz w:val="26"/>
          <w:szCs w:val="26"/>
          <w14:ligatures w14:val="standardContextual"/>
        </w:rPr>
        <w:t>o stesso:</w:t>
      </w:r>
      <w:r w:rsidR="003A171D" w:rsidRPr="008E2B66">
        <w:rPr>
          <w:rFonts w:ascii="Garamond" w:eastAsia="Aptos" w:hAnsi="Garamond" w:cs="Arial"/>
          <w:kern w:val="2"/>
          <w:sz w:val="26"/>
          <w:szCs w:val="26"/>
          <w14:ligatures w14:val="standardContextual"/>
        </w:rPr>
        <w:t xml:space="preserve"> </w:t>
      </w:r>
      <w:r w:rsidR="00E235CB" w:rsidRPr="00F01F8A">
        <w:rPr>
          <w:rFonts w:ascii="Garamond" w:eastAsia="Aptos" w:hAnsi="Garamond" w:cs="Arial"/>
          <w:i/>
          <w:iCs/>
          <w:kern w:val="2"/>
          <w:sz w:val="26"/>
          <w:szCs w:val="26"/>
          <w14:ligatures w14:val="standardContextual"/>
        </w:rPr>
        <w:t>Supporto di secondo livello alla gestione amministrativa e rendicontazione dei progetti dei Centri di ricerca, avvalendosi di strumenti formali di Project Management</w:t>
      </w:r>
      <w:r w:rsidR="00E235CB" w:rsidRPr="008E2B66">
        <w:rPr>
          <w:rFonts w:ascii="Garamond" w:eastAsia="Aptos" w:hAnsi="Garamond" w:cs="Arial"/>
          <w:kern w:val="2"/>
          <w:sz w:val="26"/>
          <w:szCs w:val="26"/>
          <w14:ligatures w14:val="standardContextual"/>
        </w:rPr>
        <w:t xml:space="preserve"> e del sottoprocesso dei Centri </w:t>
      </w:r>
      <w:r w:rsidR="00E235CB" w:rsidRPr="00F01F8A">
        <w:rPr>
          <w:rFonts w:ascii="Garamond" w:eastAsia="Aptos" w:hAnsi="Garamond" w:cs="Arial"/>
          <w:i/>
          <w:iCs/>
          <w:kern w:val="2"/>
          <w:sz w:val="26"/>
          <w:szCs w:val="26"/>
          <w14:ligatures w14:val="standardContextual"/>
        </w:rPr>
        <w:t>Gestione dei progetti e rendicontazione dei progetti</w:t>
      </w:r>
      <w:r w:rsidR="00E235CB" w:rsidRPr="008E2B66">
        <w:rPr>
          <w:rFonts w:ascii="Garamond" w:eastAsia="Aptos" w:hAnsi="Garamond" w:cs="Arial"/>
          <w:kern w:val="2"/>
          <w:sz w:val="26"/>
          <w:szCs w:val="26"/>
          <w14:ligatures w14:val="standardContextual"/>
        </w:rPr>
        <w:t xml:space="preserve"> con conseguente rimodulazione </w:t>
      </w:r>
      <w:r w:rsidR="00DA54CF">
        <w:rPr>
          <w:rFonts w:ascii="Garamond" w:eastAsia="Aptos" w:hAnsi="Garamond" w:cs="Arial"/>
          <w:kern w:val="2"/>
          <w:sz w:val="26"/>
          <w:szCs w:val="26"/>
          <w14:ligatures w14:val="standardContextual"/>
        </w:rPr>
        <w:t xml:space="preserve">nel processo </w:t>
      </w:r>
      <w:r w:rsidR="00E235CB" w:rsidRPr="00D51880">
        <w:rPr>
          <w:rFonts w:ascii="Garamond" w:eastAsia="Aptos" w:hAnsi="Garamond" w:cs="Arial"/>
          <w:i/>
          <w:iCs/>
          <w:kern w:val="2"/>
          <w:sz w:val="26"/>
          <w:szCs w:val="26"/>
          <w14:ligatures w14:val="standardContextual"/>
        </w:rPr>
        <w:t>Gestione dei progetti e predisposizione della rendicontazione dei progetti anche PNRR e Fondi strutturali</w:t>
      </w:r>
      <w:r w:rsidR="00E235CB" w:rsidRPr="008E2B66">
        <w:rPr>
          <w:rFonts w:ascii="Garamond" w:eastAsia="Aptos" w:hAnsi="Garamond" w:cs="Arial"/>
          <w:kern w:val="2"/>
          <w:sz w:val="26"/>
          <w:szCs w:val="26"/>
          <w14:ligatures w14:val="standardContextual"/>
        </w:rPr>
        <w:t xml:space="preserve"> e con previsione di misure specifiche in capo ai Centri</w:t>
      </w:r>
      <w:r w:rsidR="003A171D" w:rsidRPr="008E2B66">
        <w:rPr>
          <w:rFonts w:ascii="Garamond" w:eastAsia="Aptos" w:hAnsi="Garamond" w:cs="Arial"/>
          <w:kern w:val="2"/>
          <w:sz w:val="26"/>
          <w:szCs w:val="26"/>
          <w14:ligatures w14:val="standardContextual"/>
        </w:rPr>
        <w:t xml:space="preserve"> e </w:t>
      </w:r>
      <w:r w:rsidR="00E235CB" w:rsidRPr="008E2B66">
        <w:rPr>
          <w:rFonts w:ascii="Garamond" w:eastAsia="Aptos" w:hAnsi="Garamond" w:cs="Arial"/>
          <w:kern w:val="2"/>
          <w:sz w:val="26"/>
          <w:szCs w:val="26"/>
          <w14:ligatures w14:val="standardContextual"/>
        </w:rPr>
        <w:t xml:space="preserve"> al</w:t>
      </w:r>
      <w:r w:rsidR="003A171D" w:rsidRPr="008E2B66">
        <w:rPr>
          <w:rFonts w:ascii="Garamond" w:eastAsia="Aptos" w:hAnsi="Garamond" w:cs="Arial"/>
          <w:kern w:val="2"/>
          <w:sz w:val="26"/>
          <w:szCs w:val="26"/>
          <w14:ligatures w14:val="standardContextual"/>
        </w:rPr>
        <w:t xml:space="preserve"> predetto </w:t>
      </w:r>
      <w:r w:rsidR="00E235CB" w:rsidRPr="008E2B66">
        <w:rPr>
          <w:rFonts w:ascii="Garamond" w:eastAsia="Aptos" w:hAnsi="Garamond" w:cs="Arial"/>
          <w:kern w:val="2"/>
          <w:sz w:val="26"/>
          <w:szCs w:val="26"/>
          <w14:ligatures w14:val="standardContextual"/>
        </w:rPr>
        <w:t>Ufficio</w:t>
      </w:r>
      <w:bookmarkEnd w:id="2"/>
      <w:r w:rsidR="009E3020" w:rsidRPr="008E2B66">
        <w:rPr>
          <w:rFonts w:ascii="Garamond" w:eastAsia="Aptos" w:hAnsi="Garamond" w:cs="Arial"/>
          <w:kern w:val="2"/>
          <w:sz w:val="26"/>
          <w:szCs w:val="26"/>
          <w14:ligatures w14:val="standardContextual"/>
        </w:rPr>
        <w:t xml:space="preserve">. </w:t>
      </w:r>
    </w:p>
    <w:p w14:paraId="4AA660B8" w14:textId="296261FC" w:rsidR="00136415" w:rsidRPr="008E2B66" w:rsidRDefault="00671158" w:rsidP="001E1540">
      <w:pPr>
        <w:spacing w:after="80" w:line="276" w:lineRule="auto"/>
        <w:jc w:val="both"/>
        <w:rPr>
          <w:rFonts w:ascii="Garamond" w:eastAsia="Aptos" w:hAnsi="Garamond" w:cs="Arial"/>
          <w:kern w:val="2"/>
          <w:sz w:val="26"/>
          <w:szCs w:val="26"/>
          <w14:ligatures w14:val="standardContextual"/>
        </w:rPr>
      </w:pPr>
      <w:r w:rsidRPr="008E2B66">
        <w:rPr>
          <w:rFonts w:ascii="Garamond" w:eastAsia="Aptos" w:hAnsi="Garamond" w:cs="Arial"/>
          <w:kern w:val="2"/>
          <w:sz w:val="26"/>
          <w:szCs w:val="26"/>
          <w14:ligatures w14:val="standardContextual"/>
        </w:rPr>
        <w:t>Oltre a ciò,</w:t>
      </w:r>
      <w:r w:rsidR="00E04A5B" w:rsidRPr="008E2B66">
        <w:rPr>
          <w:rFonts w:ascii="Garamond" w:eastAsia="Aptos" w:hAnsi="Garamond" w:cs="Arial"/>
          <w:kern w:val="2"/>
          <w:sz w:val="26"/>
          <w:szCs w:val="26"/>
          <w14:ligatures w14:val="standardContextual"/>
        </w:rPr>
        <w:t xml:space="preserve"> si è</w:t>
      </w:r>
      <w:r w:rsidR="00B93704" w:rsidRPr="008E2B66">
        <w:rPr>
          <w:rFonts w:ascii="Garamond" w:eastAsia="Aptos" w:hAnsi="Garamond" w:cs="Arial"/>
          <w:kern w:val="2"/>
          <w:sz w:val="26"/>
          <w:szCs w:val="26"/>
          <w14:ligatures w14:val="standardContextual"/>
        </w:rPr>
        <w:t xml:space="preserve"> ritenuto </w:t>
      </w:r>
      <w:r w:rsidR="00E04A5B" w:rsidRPr="008E2B66">
        <w:rPr>
          <w:rFonts w:ascii="Garamond" w:eastAsia="Aptos" w:hAnsi="Garamond" w:cs="Arial"/>
          <w:kern w:val="2"/>
          <w:sz w:val="26"/>
          <w:szCs w:val="26"/>
          <w14:ligatures w14:val="standardContextual"/>
        </w:rPr>
        <w:t xml:space="preserve">di programmare </w:t>
      </w:r>
      <w:r w:rsidR="00DA54CF">
        <w:rPr>
          <w:rFonts w:ascii="Garamond" w:eastAsia="Aptos" w:hAnsi="Garamond" w:cs="Arial"/>
          <w:kern w:val="2"/>
          <w:sz w:val="26"/>
          <w:szCs w:val="26"/>
          <w14:ligatures w14:val="standardContextual"/>
        </w:rPr>
        <w:t xml:space="preserve">una </w:t>
      </w:r>
      <w:r w:rsidR="00E04A5B" w:rsidRPr="008E2B66">
        <w:rPr>
          <w:rFonts w:ascii="Garamond" w:eastAsia="Aptos" w:hAnsi="Garamond" w:cs="Arial"/>
          <w:kern w:val="2"/>
          <w:sz w:val="26"/>
          <w:szCs w:val="26"/>
          <w14:ligatures w14:val="standardContextual"/>
        </w:rPr>
        <w:t>formazione dedicata</w:t>
      </w:r>
      <w:r w:rsidR="00E235CB" w:rsidRPr="008E2B66">
        <w:rPr>
          <w:rFonts w:ascii="Garamond" w:eastAsia="Aptos" w:hAnsi="Garamond" w:cs="Arial"/>
          <w:kern w:val="2"/>
          <w:sz w:val="26"/>
          <w:szCs w:val="26"/>
          <w14:ligatures w14:val="standardContextual"/>
        </w:rPr>
        <w:t xml:space="preserve"> (vedi infra</w:t>
      </w:r>
      <w:r w:rsidR="00E11EA8" w:rsidRPr="008E2B66">
        <w:rPr>
          <w:rFonts w:ascii="Garamond" w:eastAsia="Aptos" w:hAnsi="Garamond" w:cs="Arial"/>
          <w:kern w:val="2"/>
          <w:sz w:val="26"/>
          <w:szCs w:val="26"/>
          <w14:ligatures w14:val="standardContextual"/>
        </w:rPr>
        <w:t xml:space="preserve"> il</w:t>
      </w:r>
      <w:r w:rsidR="00E235CB" w:rsidRPr="008E2B66">
        <w:rPr>
          <w:rFonts w:ascii="Garamond" w:eastAsia="Aptos" w:hAnsi="Garamond" w:cs="Arial"/>
          <w:kern w:val="2"/>
          <w:sz w:val="26"/>
          <w:szCs w:val="26"/>
          <w14:ligatures w14:val="standardContextual"/>
        </w:rPr>
        <w:t xml:space="preserve"> </w:t>
      </w:r>
      <w:r w:rsidR="00E235CB" w:rsidRPr="008E2B66">
        <w:rPr>
          <w:rStyle w:val="Enfasicorsivo"/>
          <w:rFonts w:ascii="Garamond" w:eastAsia="Aptos" w:hAnsi="Garamond" w:cs="Arial"/>
          <w:i w:val="0"/>
          <w:iCs w:val="0"/>
          <w:sz w:val="26"/>
          <w:szCs w:val="26"/>
          <w:shd w:val="clear" w:color="auto" w:fill="FFFFFF"/>
        </w:rPr>
        <w:t>§</w:t>
      </w:r>
      <w:r w:rsidR="00E11EA8" w:rsidRPr="008E2B66">
        <w:rPr>
          <w:rStyle w:val="Enfasicorsivo"/>
          <w:rFonts w:ascii="Garamond" w:eastAsia="Aptos" w:hAnsi="Garamond" w:cs="Arial"/>
          <w:i w:val="0"/>
          <w:iCs w:val="0"/>
          <w:sz w:val="26"/>
          <w:szCs w:val="26"/>
          <w:shd w:val="clear" w:color="auto" w:fill="FFFFFF"/>
        </w:rPr>
        <w:t xml:space="preserve"> </w:t>
      </w:r>
      <w:r w:rsidR="00E11EA8" w:rsidRPr="00D51880">
        <w:rPr>
          <w:rStyle w:val="Enfasicorsivo"/>
          <w:rFonts w:ascii="Garamond" w:eastAsia="Aptos" w:hAnsi="Garamond" w:cs="Arial"/>
          <w:sz w:val="26"/>
          <w:szCs w:val="26"/>
          <w:shd w:val="clear" w:color="auto" w:fill="FFFFFF"/>
        </w:rPr>
        <w:t>Fabbisogno formativo anno 2025</w:t>
      </w:r>
      <w:r w:rsidR="00E11EA8" w:rsidRPr="008E2B66">
        <w:rPr>
          <w:rStyle w:val="Enfasicorsivo"/>
          <w:rFonts w:ascii="Garamond" w:eastAsia="Aptos" w:hAnsi="Garamond" w:cs="Arial"/>
          <w:i w:val="0"/>
          <w:iCs w:val="0"/>
          <w:sz w:val="26"/>
          <w:szCs w:val="26"/>
          <w:shd w:val="clear" w:color="auto" w:fill="FFFFFF"/>
        </w:rPr>
        <w:t>)</w:t>
      </w:r>
      <w:r w:rsidR="00E235CB" w:rsidRPr="008E2B66">
        <w:rPr>
          <w:rStyle w:val="Enfasicorsivo"/>
          <w:rFonts w:ascii="Garamond" w:eastAsia="Aptos" w:hAnsi="Garamond" w:cs="Arial"/>
          <w:i w:val="0"/>
          <w:iCs w:val="0"/>
          <w:sz w:val="26"/>
          <w:szCs w:val="26"/>
          <w:shd w:val="clear" w:color="auto" w:fill="FFFFFF"/>
        </w:rPr>
        <w:t xml:space="preserve"> </w:t>
      </w:r>
      <w:r w:rsidR="00E04A5B" w:rsidRPr="008E2B66">
        <w:rPr>
          <w:rFonts w:ascii="Garamond" w:eastAsia="Aptos" w:hAnsi="Garamond" w:cs="Arial"/>
          <w:kern w:val="2"/>
          <w:sz w:val="26"/>
          <w:szCs w:val="26"/>
          <w14:ligatures w14:val="standardContextual"/>
        </w:rPr>
        <w:t>e</w:t>
      </w:r>
      <w:r w:rsidR="00B93704" w:rsidRPr="008E2B66">
        <w:rPr>
          <w:rFonts w:ascii="Garamond" w:eastAsia="Aptos" w:hAnsi="Garamond" w:cs="Arial"/>
          <w:kern w:val="2"/>
          <w:sz w:val="26"/>
          <w:szCs w:val="26"/>
          <w14:ligatures w14:val="standardContextual"/>
        </w:rPr>
        <w:t xml:space="preserve"> </w:t>
      </w:r>
      <w:r w:rsidR="00DA54CF">
        <w:rPr>
          <w:rFonts w:ascii="Garamond" w:eastAsia="Aptos" w:hAnsi="Garamond" w:cs="Arial"/>
          <w:kern w:val="2"/>
          <w:sz w:val="26"/>
          <w:szCs w:val="26"/>
          <w14:ligatures w14:val="standardContextual"/>
        </w:rPr>
        <w:t xml:space="preserve">le </w:t>
      </w:r>
      <w:r w:rsidR="00B93704" w:rsidRPr="008E2B66">
        <w:rPr>
          <w:rFonts w:ascii="Garamond" w:eastAsia="Aptos" w:hAnsi="Garamond" w:cs="Arial"/>
          <w:kern w:val="2"/>
          <w:sz w:val="26"/>
          <w:szCs w:val="26"/>
          <w14:ligatures w14:val="standardContextual"/>
        </w:rPr>
        <w:t>misure generali</w:t>
      </w:r>
      <w:r w:rsidR="00E04A5B" w:rsidRPr="008E2B66">
        <w:rPr>
          <w:rFonts w:ascii="Garamond" w:eastAsia="Aptos" w:hAnsi="Garamond" w:cs="Arial"/>
          <w:kern w:val="2"/>
          <w:sz w:val="26"/>
          <w:szCs w:val="26"/>
          <w14:ligatures w14:val="standardContextual"/>
        </w:rPr>
        <w:t xml:space="preserve"> (</w:t>
      </w:r>
      <w:r w:rsidR="00E235CB" w:rsidRPr="008E2B66">
        <w:rPr>
          <w:rFonts w:ascii="Garamond" w:eastAsia="Aptos" w:hAnsi="Garamond" w:cs="Arial"/>
          <w:kern w:val="2"/>
          <w:sz w:val="26"/>
          <w:szCs w:val="26"/>
          <w14:ligatures w14:val="standardContextual"/>
        </w:rPr>
        <w:t>vedi infra</w:t>
      </w:r>
      <w:r w:rsidR="00E11EA8" w:rsidRPr="008E2B66">
        <w:rPr>
          <w:rFonts w:ascii="Garamond" w:eastAsia="Aptos" w:hAnsi="Garamond" w:cs="Arial"/>
          <w:kern w:val="2"/>
          <w:sz w:val="26"/>
          <w:szCs w:val="26"/>
          <w14:ligatures w14:val="standardContextual"/>
        </w:rPr>
        <w:t xml:space="preserve"> il</w:t>
      </w:r>
      <w:r w:rsidR="00E235CB" w:rsidRPr="008E2B66">
        <w:rPr>
          <w:rFonts w:ascii="Garamond" w:eastAsia="Aptos" w:hAnsi="Garamond" w:cs="Arial"/>
          <w:kern w:val="2"/>
          <w:sz w:val="26"/>
          <w:szCs w:val="26"/>
          <w14:ligatures w14:val="standardContextual"/>
        </w:rPr>
        <w:t xml:space="preserve"> </w:t>
      </w:r>
      <w:r w:rsidR="00E235CB" w:rsidRPr="008E2B66">
        <w:rPr>
          <w:rStyle w:val="Enfasicorsivo"/>
          <w:rFonts w:ascii="Garamond" w:eastAsia="Aptos" w:hAnsi="Garamond" w:cs="Arial"/>
          <w:i w:val="0"/>
          <w:iCs w:val="0"/>
          <w:sz w:val="26"/>
          <w:szCs w:val="26"/>
          <w:shd w:val="clear" w:color="auto" w:fill="FFFFFF"/>
        </w:rPr>
        <w:t>§</w:t>
      </w:r>
      <w:r w:rsidR="00A24BC6" w:rsidRPr="008E2B66">
        <w:rPr>
          <w:rStyle w:val="Enfasicorsivo"/>
          <w:rFonts w:ascii="Garamond" w:eastAsia="Aptos" w:hAnsi="Garamond" w:cs="Arial"/>
          <w:i w:val="0"/>
          <w:iCs w:val="0"/>
          <w:sz w:val="26"/>
          <w:szCs w:val="26"/>
          <w:shd w:val="clear" w:color="auto" w:fill="FFFFFF"/>
        </w:rPr>
        <w:t xml:space="preserve"> </w:t>
      </w:r>
      <w:r w:rsidR="001C73EE" w:rsidRPr="00D51880">
        <w:rPr>
          <w:rFonts w:ascii="Garamond" w:eastAsia="Aptos" w:hAnsi="Garamond" w:cs="Arial"/>
          <w:i/>
          <w:iCs/>
          <w:kern w:val="2"/>
          <w:sz w:val="26"/>
          <w:szCs w:val="26"/>
          <w14:ligatures w14:val="standardContextual"/>
        </w:rPr>
        <w:t xml:space="preserve">Acquisizione </w:t>
      </w:r>
      <w:r w:rsidR="00136415" w:rsidRPr="00D51880">
        <w:rPr>
          <w:rFonts w:ascii="Garamond" w:eastAsia="Aptos" w:hAnsi="Garamond" w:cs="Arial"/>
          <w:i/>
          <w:iCs/>
          <w:kern w:val="2"/>
          <w:sz w:val="26"/>
          <w:szCs w:val="26"/>
          <w14:ligatures w14:val="standardContextual"/>
        </w:rPr>
        <w:t>dei dati relativi al titolare effettivo degli operatori economici - contratti pubblici PNRR</w:t>
      </w:r>
      <w:r w:rsidR="00136415" w:rsidRPr="008E2B66">
        <w:rPr>
          <w:rFonts w:ascii="Garamond" w:eastAsia="Aptos" w:hAnsi="Garamond" w:cs="Arial"/>
          <w:kern w:val="2"/>
          <w:sz w:val="26"/>
          <w:szCs w:val="26"/>
          <w14:ligatures w14:val="standardContextual"/>
        </w:rPr>
        <w:t xml:space="preserve"> e</w:t>
      </w:r>
      <w:r w:rsidR="00E11EA8" w:rsidRPr="008E2B66">
        <w:rPr>
          <w:rFonts w:ascii="Garamond" w:eastAsia="Aptos" w:hAnsi="Garamond" w:cs="Arial"/>
          <w:kern w:val="2"/>
          <w:sz w:val="26"/>
          <w:szCs w:val="26"/>
          <w14:ligatures w14:val="standardContextual"/>
        </w:rPr>
        <w:t xml:space="preserve"> il</w:t>
      </w:r>
      <w:r w:rsidR="00136415" w:rsidRPr="008E2B66">
        <w:rPr>
          <w:rFonts w:ascii="Garamond" w:eastAsia="Aptos" w:hAnsi="Garamond" w:cs="Arial"/>
          <w:kern w:val="2"/>
          <w:sz w:val="26"/>
          <w:szCs w:val="26"/>
          <w14:ligatures w14:val="standardContextual"/>
        </w:rPr>
        <w:t xml:space="preserve"> </w:t>
      </w:r>
      <w:r w:rsidR="00E235CB" w:rsidRPr="008E2B66">
        <w:rPr>
          <w:rFonts w:ascii="Garamond" w:eastAsia="Aptos" w:hAnsi="Garamond" w:cs="Arial"/>
          <w:kern w:val="2"/>
          <w:sz w:val="26"/>
          <w:szCs w:val="26"/>
          <w14:ligatures w14:val="standardContextual"/>
        </w:rPr>
        <w:t>§</w:t>
      </w:r>
      <w:r w:rsidR="00136415" w:rsidRPr="008E2B66">
        <w:rPr>
          <w:rFonts w:ascii="Garamond" w:eastAsia="Aptos" w:hAnsi="Garamond" w:cs="Arial"/>
          <w:kern w:val="2"/>
          <w:sz w:val="26"/>
          <w:szCs w:val="26"/>
          <w14:ligatures w14:val="standardContextual"/>
        </w:rPr>
        <w:t xml:space="preserve"> </w:t>
      </w:r>
      <w:r w:rsidR="00136415" w:rsidRPr="00D51880">
        <w:rPr>
          <w:rFonts w:ascii="Garamond" w:eastAsia="Aptos" w:hAnsi="Garamond" w:cs="Arial"/>
          <w:i/>
          <w:iCs/>
          <w:kern w:val="2"/>
          <w:sz w:val="26"/>
          <w:szCs w:val="26"/>
          <w14:ligatures w14:val="standardContextual"/>
        </w:rPr>
        <w:t>Conflitto di interessi in materia di contratti pubblici</w:t>
      </w:r>
      <w:r w:rsidR="00136415" w:rsidRPr="008E2B66">
        <w:rPr>
          <w:rFonts w:ascii="Garamond" w:eastAsia="Aptos" w:hAnsi="Garamond" w:cs="Arial"/>
          <w:kern w:val="2"/>
          <w:sz w:val="26"/>
          <w:szCs w:val="26"/>
          <w14:ligatures w14:val="standardContextual"/>
        </w:rPr>
        <w:t>).</w:t>
      </w:r>
    </w:p>
    <w:bookmarkEnd w:id="1"/>
    <w:p w14:paraId="14893AF4" w14:textId="782006B5" w:rsidR="009C366C" w:rsidRPr="008E2B66" w:rsidRDefault="006727A1" w:rsidP="001E1540">
      <w:pPr>
        <w:spacing w:after="80" w:line="276" w:lineRule="auto"/>
        <w:jc w:val="both"/>
        <w:rPr>
          <w:rFonts w:ascii="Garamond" w:eastAsia="Aptos" w:hAnsi="Garamond" w:cs="Arial"/>
          <w:kern w:val="2"/>
          <w:sz w:val="26"/>
          <w:szCs w:val="26"/>
          <w14:ligatures w14:val="standardContextual"/>
        </w:rPr>
      </w:pPr>
      <w:r w:rsidRPr="008E2B66">
        <w:rPr>
          <w:rFonts w:ascii="Garamond" w:eastAsia="Aptos" w:hAnsi="Garamond" w:cs="Arial"/>
          <w:kern w:val="2"/>
          <w:sz w:val="26"/>
          <w:szCs w:val="26"/>
          <w14:ligatures w14:val="standardContextual"/>
        </w:rPr>
        <w:t xml:space="preserve">Per ciò che </w:t>
      </w:r>
      <w:r w:rsidR="00DA54CF">
        <w:rPr>
          <w:rFonts w:ascii="Garamond" w:eastAsia="Aptos" w:hAnsi="Garamond" w:cs="Arial"/>
          <w:kern w:val="2"/>
          <w:sz w:val="26"/>
          <w:szCs w:val="26"/>
          <w14:ligatures w14:val="standardContextual"/>
        </w:rPr>
        <w:t xml:space="preserve">riguarda </w:t>
      </w:r>
      <w:r w:rsidRPr="008E2B66">
        <w:rPr>
          <w:rFonts w:ascii="Garamond" w:eastAsia="Aptos" w:hAnsi="Garamond" w:cs="Arial"/>
          <w:kern w:val="2"/>
          <w:sz w:val="26"/>
          <w:szCs w:val="26"/>
          <w14:ligatures w14:val="standardContextual"/>
        </w:rPr>
        <w:t>il personale, o</w:t>
      </w:r>
      <w:r w:rsidR="000E7DE0" w:rsidRPr="008E2B66">
        <w:rPr>
          <w:rFonts w:ascii="Garamond" w:eastAsia="Aptos" w:hAnsi="Garamond" w:cs="Arial"/>
          <w:kern w:val="2"/>
          <w:sz w:val="26"/>
          <w:szCs w:val="26"/>
          <w14:ligatures w14:val="standardContextual"/>
        </w:rPr>
        <w:t xml:space="preserve">ccorre evidenziare che </w:t>
      </w:r>
      <w:r w:rsidR="00F511A5" w:rsidRPr="008E2B66">
        <w:rPr>
          <w:rFonts w:ascii="Garamond" w:eastAsia="Aptos" w:hAnsi="Garamond" w:cs="Arial"/>
          <w:kern w:val="2"/>
          <w:sz w:val="26"/>
          <w:szCs w:val="26"/>
          <w14:ligatures w14:val="standardContextual"/>
        </w:rPr>
        <w:t>nell’ambito della compagine creatasi a seguito dei nuovi incarichi politici e gestionali, è rimasto</w:t>
      </w:r>
      <w:r w:rsidR="000E7DE0" w:rsidRPr="008E2B66">
        <w:rPr>
          <w:rFonts w:ascii="Garamond" w:eastAsia="Aptos" w:hAnsi="Garamond" w:cs="Arial"/>
          <w:kern w:val="2"/>
          <w:sz w:val="26"/>
          <w:szCs w:val="26"/>
          <w14:ligatures w14:val="standardContextual"/>
        </w:rPr>
        <w:t>, comunque,</w:t>
      </w:r>
      <w:r w:rsidR="00F511A5" w:rsidRPr="008E2B66">
        <w:rPr>
          <w:rFonts w:ascii="Garamond" w:eastAsia="Aptos" w:hAnsi="Garamond" w:cs="Arial"/>
          <w:kern w:val="2"/>
          <w:sz w:val="26"/>
          <w:szCs w:val="26"/>
          <w14:ligatures w14:val="standardContextual"/>
        </w:rPr>
        <w:t xml:space="preserve"> immutato il contesto lavorativo del personale che dal periodo della crisi pandemica e del conseguente regime </w:t>
      </w:r>
      <w:r w:rsidR="00F511A5" w:rsidRPr="008E2B66">
        <w:rPr>
          <w:rFonts w:ascii="Garamond" w:eastAsia="Aptos" w:hAnsi="Garamond" w:cs="Arial"/>
          <w:kern w:val="2"/>
          <w:sz w:val="26"/>
          <w:szCs w:val="26"/>
          <w14:ligatures w14:val="standardContextual"/>
        </w:rPr>
        <w:lastRenderedPageBreak/>
        <w:t xml:space="preserve">emergenziale, ha </w:t>
      </w:r>
      <w:r w:rsidRPr="008E2B66">
        <w:rPr>
          <w:rFonts w:ascii="Garamond" w:eastAsia="Aptos" w:hAnsi="Garamond" w:cs="Arial"/>
          <w:kern w:val="2"/>
          <w:sz w:val="26"/>
          <w:szCs w:val="26"/>
          <w14:ligatures w14:val="standardContextual"/>
        </w:rPr>
        <w:t xml:space="preserve">visto </w:t>
      </w:r>
      <w:r w:rsidR="00F511A5" w:rsidRPr="008E2B66">
        <w:rPr>
          <w:rFonts w:ascii="Garamond" w:eastAsia="Aptos" w:hAnsi="Garamond" w:cs="Arial"/>
          <w:kern w:val="2"/>
          <w:sz w:val="26"/>
          <w:szCs w:val="26"/>
          <w14:ligatures w14:val="standardContextual"/>
        </w:rPr>
        <w:t>consolida</w:t>
      </w:r>
      <w:r w:rsidRPr="008E2B66">
        <w:rPr>
          <w:rFonts w:ascii="Garamond" w:eastAsia="Aptos" w:hAnsi="Garamond" w:cs="Arial"/>
          <w:kern w:val="2"/>
          <w:sz w:val="26"/>
          <w:szCs w:val="26"/>
          <w14:ligatures w14:val="standardContextual"/>
        </w:rPr>
        <w:t>rsi</w:t>
      </w:r>
      <w:r w:rsidR="00F511A5" w:rsidRPr="008E2B66">
        <w:rPr>
          <w:rFonts w:ascii="Garamond" w:eastAsia="Aptos" w:hAnsi="Garamond" w:cs="Arial"/>
          <w:kern w:val="2"/>
          <w:sz w:val="26"/>
          <w:szCs w:val="26"/>
          <w14:ligatures w14:val="standardContextual"/>
        </w:rPr>
        <w:t xml:space="preserve"> il ricorso allo strumento del </w:t>
      </w:r>
      <w:r w:rsidR="00F511A5" w:rsidRPr="00D51880">
        <w:rPr>
          <w:rFonts w:ascii="Garamond" w:eastAsia="Aptos" w:hAnsi="Garamond" w:cs="Arial"/>
          <w:i/>
          <w:iCs/>
          <w:kern w:val="2"/>
          <w:sz w:val="26"/>
          <w:szCs w:val="26"/>
          <w14:ligatures w14:val="standardContextual"/>
        </w:rPr>
        <w:t>lavoro agile</w:t>
      </w:r>
      <w:r w:rsidR="00F511A5" w:rsidRPr="008E2B66">
        <w:rPr>
          <w:rFonts w:ascii="Garamond" w:eastAsia="Aptos" w:hAnsi="Garamond" w:cs="Arial"/>
          <w:kern w:val="2"/>
          <w:sz w:val="26"/>
          <w:szCs w:val="26"/>
          <w14:ligatures w14:val="standardContextual"/>
        </w:rPr>
        <w:t>, circostanza che ha determinato un forte impulso alla informatizzazione e digitalizzazione dei processi che il CREA sta cercando di realizzare.</w:t>
      </w:r>
    </w:p>
    <w:p w14:paraId="3B6E3CAC" w14:textId="638353E3" w:rsidR="002B4947" w:rsidRDefault="00F511A5" w:rsidP="00D87ACE">
      <w:pPr>
        <w:spacing w:after="160" w:line="276" w:lineRule="auto"/>
        <w:jc w:val="both"/>
        <w:rPr>
          <w:rFonts w:ascii="Garamond" w:eastAsia="Aptos" w:hAnsi="Garamond" w:cs="Arial"/>
          <w:kern w:val="2"/>
          <w:sz w:val="26"/>
          <w:szCs w:val="26"/>
          <w14:ligatures w14:val="standardContextual"/>
        </w:rPr>
      </w:pPr>
      <w:r w:rsidRPr="008E2B66">
        <w:rPr>
          <w:rFonts w:ascii="Garamond" w:eastAsia="Aptos" w:hAnsi="Garamond" w:cs="Arial"/>
          <w:kern w:val="2"/>
          <w:sz w:val="26"/>
          <w:szCs w:val="26"/>
          <w14:ligatures w14:val="standardContextual"/>
        </w:rPr>
        <w:t>La maggiore efficacia nella gestione dei processi amministrativi è indice</w:t>
      </w:r>
      <w:r w:rsidR="00DA54CF">
        <w:rPr>
          <w:rFonts w:ascii="Garamond" w:eastAsia="Aptos" w:hAnsi="Garamond" w:cs="Arial"/>
          <w:kern w:val="2"/>
          <w:sz w:val="26"/>
          <w:szCs w:val="26"/>
          <w14:ligatures w14:val="standardContextual"/>
        </w:rPr>
        <w:t>,</w:t>
      </w:r>
      <w:r w:rsidRPr="008E2B66">
        <w:rPr>
          <w:rFonts w:ascii="Garamond" w:eastAsia="Aptos" w:hAnsi="Garamond" w:cs="Arial"/>
          <w:kern w:val="2"/>
          <w:sz w:val="26"/>
          <w:szCs w:val="26"/>
          <w14:ligatures w14:val="standardContextual"/>
        </w:rPr>
        <w:t xml:space="preserve"> altresì</w:t>
      </w:r>
      <w:r w:rsidR="00DA54CF">
        <w:rPr>
          <w:rFonts w:ascii="Garamond" w:eastAsia="Aptos" w:hAnsi="Garamond" w:cs="Arial"/>
          <w:kern w:val="2"/>
          <w:sz w:val="26"/>
          <w:szCs w:val="26"/>
          <w14:ligatures w14:val="standardContextual"/>
        </w:rPr>
        <w:t>,</w:t>
      </w:r>
      <w:r w:rsidRPr="008E2B66">
        <w:rPr>
          <w:rFonts w:ascii="Garamond" w:eastAsia="Aptos" w:hAnsi="Garamond" w:cs="Arial"/>
          <w:kern w:val="2"/>
          <w:sz w:val="26"/>
          <w:szCs w:val="26"/>
          <w14:ligatures w14:val="standardContextual"/>
        </w:rPr>
        <w:t xml:space="preserve"> di sinergia ed efficienza delle comunicazioni tra </w:t>
      </w:r>
      <w:r w:rsidR="00D51880" w:rsidRPr="00D51880">
        <w:rPr>
          <w:rFonts w:ascii="Garamond" w:eastAsia="Aptos" w:hAnsi="Garamond" w:cs="Arial"/>
          <w:kern w:val="2"/>
          <w:sz w:val="26"/>
          <w:szCs w:val="26"/>
          <w14:ligatures w14:val="standardContextual"/>
        </w:rPr>
        <w:t>strutture organizzative centrali</w:t>
      </w:r>
      <w:r w:rsidRPr="00D51880">
        <w:rPr>
          <w:rFonts w:ascii="Garamond" w:eastAsia="Aptos" w:hAnsi="Garamond" w:cs="Arial"/>
          <w:kern w:val="2"/>
          <w:sz w:val="26"/>
          <w:szCs w:val="26"/>
          <w14:ligatures w14:val="standardContextual"/>
        </w:rPr>
        <w:t xml:space="preserve"> e </w:t>
      </w:r>
      <w:r w:rsidR="00D51880" w:rsidRPr="00D51880">
        <w:rPr>
          <w:rFonts w:ascii="Garamond" w:eastAsia="Aptos" w:hAnsi="Garamond" w:cs="Arial"/>
          <w:kern w:val="2"/>
          <w:sz w:val="26"/>
          <w:szCs w:val="26"/>
          <w14:ligatures w14:val="standardContextual"/>
        </w:rPr>
        <w:t>strutture periferiche</w:t>
      </w:r>
      <w:r w:rsidRPr="008E2B66">
        <w:rPr>
          <w:rFonts w:ascii="Garamond" w:eastAsia="Aptos" w:hAnsi="Garamond" w:cs="Arial"/>
          <w:kern w:val="2"/>
          <w:sz w:val="26"/>
          <w:szCs w:val="26"/>
          <w14:ligatures w14:val="standardContextual"/>
        </w:rPr>
        <w:t xml:space="preserve"> e tra vertici e personale</w:t>
      </w:r>
      <w:r w:rsidR="00DA54CF">
        <w:rPr>
          <w:rFonts w:ascii="Garamond" w:eastAsia="Aptos" w:hAnsi="Garamond" w:cs="Arial"/>
          <w:kern w:val="2"/>
          <w:sz w:val="26"/>
          <w:szCs w:val="26"/>
          <w14:ligatures w14:val="standardContextual"/>
        </w:rPr>
        <w:t>; a</w:t>
      </w:r>
      <w:r w:rsidRPr="008E2B66">
        <w:rPr>
          <w:rFonts w:ascii="Garamond" w:eastAsia="Aptos" w:hAnsi="Garamond" w:cs="Arial"/>
          <w:kern w:val="2"/>
          <w:sz w:val="26"/>
          <w:szCs w:val="26"/>
          <w14:ligatures w14:val="standardContextual"/>
        </w:rPr>
        <w:t>nche a tale risultato mirano le programmazioni proposte in materia di prevenzione della corruzione.</w:t>
      </w:r>
    </w:p>
    <w:p w14:paraId="76CEEC77" w14:textId="77777777" w:rsidR="00D87ACE" w:rsidRPr="00D87ACE" w:rsidRDefault="00D87ACE" w:rsidP="00D87ACE">
      <w:pPr>
        <w:spacing w:after="160" w:line="276" w:lineRule="auto"/>
        <w:jc w:val="both"/>
        <w:rPr>
          <w:rFonts w:ascii="Garamond" w:eastAsia="Aptos" w:hAnsi="Garamond" w:cs="Arial"/>
          <w:kern w:val="2"/>
          <w:sz w:val="26"/>
          <w:szCs w:val="26"/>
          <w14:ligatures w14:val="standardContextual"/>
        </w:rPr>
      </w:pPr>
    </w:p>
    <w:p w14:paraId="7AF4654A" w14:textId="7B529088" w:rsidR="007B6EC1" w:rsidRPr="008E2B66" w:rsidRDefault="00A221C3" w:rsidP="00A221C3">
      <w:pPr>
        <w:spacing w:line="360" w:lineRule="auto"/>
        <w:jc w:val="both"/>
        <w:rPr>
          <w:rFonts w:ascii="Garamond" w:hAnsi="Garamond" w:cs="Arial"/>
          <w:b/>
          <w:bCs/>
          <w:sz w:val="26"/>
          <w:szCs w:val="26"/>
        </w:rPr>
      </w:pPr>
      <w:r w:rsidRPr="00D87ACE">
        <w:rPr>
          <w:rFonts w:ascii="Garamond" w:eastAsia="Aptos" w:hAnsi="Garamond" w:cs="Arial"/>
          <w:b/>
          <w:bCs/>
          <w:kern w:val="2"/>
          <w:sz w:val="26"/>
          <w:szCs w:val="26"/>
          <w14:ligatures w14:val="standardContextual"/>
        </w:rPr>
        <w:t>2.3.</w:t>
      </w:r>
      <w:r w:rsidR="00964C6D" w:rsidRPr="00D87ACE">
        <w:rPr>
          <w:rFonts w:ascii="Garamond" w:eastAsia="Aptos" w:hAnsi="Garamond" w:cs="Arial"/>
          <w:b/>
          <w:bCs/>
          <w:kern w:val="2"/>
          <w:sz w:val="26"/>
          <w:szCs w:val="26"/>
          <w14:ligatures w14:val="standardContextual"/>
        </w:rPr>
        <w:t>2.4</w:t>
      </w:r>
      <w:r w:rsidRPr="00D87ACE">
        <w:rPr>
          <w:rFonts w:ascii="Garamond" w:eastAsia="Aptos" w:hAnsi="Garamond" w:cs="Arial"/>
          <w:b/>
          <w:bCs/>
          <w:kern w:val="2"/>
          <w:sz w:val="26"/>
          <w:szCs w:val="26"/>
          <w14:ligatures w14:val="standardContextual"/>
        </w:rPr>
        <w:t xml:space="preserve"> </w:t>
      </w:r>
      <w:r w:rsidR="007B6EC1" w:rsidRPr="00D87ACE">
        <w:rPr>
          <w:rFonts w:ascii="Garamond" w:hAnsi="Garamond" w:cs="Arial"/>
          <w:b/>
          <w:bCs/>
          <w:sz w:val="26"/>
          <w:szCs w:val="26"/>
        </w:rPr>
        <w:t>Esito dei monitoraggi e aggiornamento analisi del rischio</w:t>
      </w:r>
      <w:r w:rsidR="00E55448" w:rsidRPr="008E2B66">
        <w:rPr>
          <w:rFonts w:ascii="Garamond" w:hAnsi="Garamond" w:cs="Arial"/>
          <w:b/>
          <w:bCs/>
          <w:sz w:val="26"/>
          <w:szCs w:val="26"/>
        </w:rPr>
        <w:t xml:space="preserve"> </w:t>
      </w:r>
    </w:p>
    <w:p w14:paraId="0D7ED9DD" w14:textId="518A8EEF" w:rsidR="00A24BC6" w:rsidRPr="008E2B66" w:rsidRDefault="007B6EC1" w:rsidP="001E1540">
      <w:pPr>
        <w:autoSpaceDE w:val="0"/>
        <w:autoSpaceDN w:val="0"/>
        <w:adjustRightInd w:val="0"/>
        <w:spacing w:after="80" w:line="276" w:lineRule="auto"/>
        <w:jc w:val="both"/>
        <w:rPr>
          <w:rFonts w:ascii="Garamond" w:hAnsi="Garamond" w:cs="Arial"/>
          <w:sz w:val="26"/>
          <w:szCs w:val="26"/>
        </w:rPr>
      </w:pPr>
      <w:r w:rsidRPr="008E2B66">
        <w:rPr>
          <w:rFonts w:ascii="Garamond" w:eastAsia="Arial Unicode MS" w:hAnsi="Garamond" w:cs="Arial"/>
          <w:sz w:val="26"/>
          <w:szCs w:val="26"/>
          <w:u w:color="000000"/>
          <w:bdr w:val="nil"/>
          <w:lang w:eastAsia="it-IT"/>
        </w:rPr>
        <w:t>Con riferimento alle attività di verifica sullo stato di attuazione delle misure</w:t>
      </w:r>
      <w:r w:rsidR="002B4947">
        <w:rPr>
          <w:rFonts w:ascii="Garamond" w:eastAsia="Arial Unicode MS" w:hAnsi="Garamond" w:cs="Arial"/>
          <w:sz w:val="26"/>
          <w:szCs w:val="26"/>
          <w:u w:color="000000"/>
          <w:bdr w:val="nil"/>
          <w:lang w:eastAsia="it-IT"/>
        </w:rPr>
        <w:t>,</w:t>
      </w:r>
      <w:r w:rsidRPr="008E2B66">
        <w:rPr>
          <w:rFonts w:ascii="Garamond" w:eastAsia="Arial Unicode MS" w:hAnsi="Garamond" w:cs="Arial"/>
          <w:sz w:val="26"/>
          <w:szCs w:val="26"/>
          <w:u w:color="000000"/>
          <w:bdr w:val="nil"/>
          <w:lang w:eastAsia="it-IT"/>
        </w:rPr>
        <w:t xml:space="preserve"> si rappresenta che</w:t>
      </w:r>
      <w:r w:rsidR="00D51880">
        <w:rPr>
          <w:rFonts w:ascii="Garamond" w:eastAsia="Arial Unicode MS" w:hAnsi="Garamond" w:cs="Arial"/>
          <w:sz w:val="26"/>
          <w:szCs w:val="26"/>
          <w:u w:color="000000"/>
          <w:bdr w:val="nil"/>
          <w:lang w:eastAsia="it-IT"/>
        </w:rPr>
        <w:t xml:space="preserve"> - </w:t>
      </w:r>
      <w:r w:rsidRPr="008E2B66">
        <w:rPr>
          <w:rFonts w:ascii="Garamond" w:hAnsi="Garamond" w:cs="Arial"/>
          <w:sz w:val="26"/>
          <w:szCs w:val="26"/>
        </w:rPr>
        <w:t>con note prot. n</w:t>
      </w:r>
      <w:r w:rsidR="002D3160" w:rsidRPr="008E2B66">
        <w:rPr>
          <w:rFonts w:ascii="Garamond" w:hAnsi="Garamond" w:cs="Arial"/>
          <w:sz w:val="26"/>
          <w:szCs w:val="26"/>
        </w:rPr>
        <w:t xml:space="preserve">. </w:t>
      </w:r>
      <w:r w:rsidR="004806B2" w:rsidRPr="008E2B66">
        <w:rPr>
          <w:rFonts w:ascii="Garamond" w:hAnsi="Garamond" w:cs="Arial"/>
          <w:sz w:val="26"/>
          <w:szCs w:val="26"/>
        </w:rPr>
        <w:t>46418</w:t>
      </w:r>
      <w:r w:rsidR="002D3160" w:rsidRPr="008E2B66">
        <w:rPr>
          <w:rFonts w:ascii="Garamond" w:hAnsi="Garamond" w:cs="Arial"/>
          <w:sz w:val="26"/>
          <w:szCs w:val="26"/>
        </w:rPr>
        <w:t xml:space="preserve">, </w:t>
      </w:r>
      <w:r w:rsidRPr="008E2B66">
        <w:rPr>
          <w:rFonts w:ascii="Garamond" w:hAnsi="Garamond" w:cs="Arial"/>
          <w:sz w:val="26"/>
          <w:szCs w:val="26"/>
        </w:rPr>
        <w:t>n</w:t>
      </w:r>
      <w:r w:rsidR="002D3160" w:rsidRPr="008E2B66">
        <w:rPr>
          <w:rFonts w:ascii="Garamond" w:hAnsi="Garamond" w:cs="Arial"/>
          <w:sz w:val="26"/>
          <w:szCs w:val="26"/>
        </w:rPr>
        <w:t xml:space="preserve">. </w:t>
      </w:r>
      <w:r w:rsidR="004806B2" w:rsidRPr="008E2B66">
        <w:rPr>
          <w:rFonts w:ascii="Garamond" w:hAnsi="Garamond" w:cs="Arial"/>
          <w:sz w:val="26"/>
          <w:szCs w:val="26"/>
        </w:rPr>
        <w:t>46420</w:t>
      </w:r>
      <w:r w:rsidRPr="008E2B66">
        <w:rPr>
          <w:rFonts w:ascii="Garamond" w:hAnsi="Garamond" w:cs="Arial"/>
          <w:sz w:val="26"/>
          <w:szCs w:val="26"/>
        </w:rPr>
        <w:t>, n.</w:t>
      </w:r>
      <w:r w:rsidR="002D3160" w:rsidRPr="008E2B66">
        <w:rPr>
          <w:rFonts w:ascii="Garamond" w:hAnsi="Garamond" w:cs="Arial"/>
          <w:sz w:val="26"/>
          <w:szCs w:val="26"/>
        </w:rPr>
        <w:t xml:space="preserve"> </w:t>
      </w:r>
      <w:r w:rsidR="004806B2" w:rsidRPr="008E2B66">
        <w:rPr>
          <w:rFonts w:ascii="Garamond" w:hAnsi="Garamond" w:cs="Arial"/>
          <w:sz w:val="26"/>
          <w:szCs w:val="26"/>
        </w:rPr>
        <w:t>46424</w:t>
      </w:r>
      <w:r w:rsidR="008D51A9" w:rsidRPr="008E2B66">
        <w:rPr>
          <w:rFonts w:ascii="Garamond" w:hAnsi="Garamond" w:cs="Arial"/>
          <w:sz w:val="26"/>
          <w:szCs w:val="26"/>
        </w:rPr>
        <w:t>, n. 46432 e n.</w:t>
      </w:r>
      <w:r w:rsidR="00B944A7" w:rsidRPr="008E2B66">
        <w:rPr>
          <w:rFonts w:ascii="Garamond" w:hAnsi="Garamond" w:cs="Arial"/>
          <w:sz w:val="26"/>
          <w:szCs w:val="26"/>
        </w:rPr>
        <w:t xml:space="preserve"> </w:t>
      </w:r>
      <w:r w:rsidR="00734A00" w:rsidRPr="008E2B66">
        <w:rPr>
          <w:rFonts w:ascii="Garamond" w:hAnsi="Garamond" w:cs="Arial"/>
          <w:sz w:val="26"/>
          <w:szCs w:val="26"/>
        </w:rPr>
        <w:t>46442</w:t>
      </w:r>
      <w:r w:rsidR="008D51A9" w:rsidRPr="008E2B66">
        <w:rPr>
          <w:rFonts w:ascii="Garamond" w:hAnsi="Garamond" w:cs="Arial"/>
          <w:sz w:val="26"/>
          <w:szCs w:val="26"/>
        </w:rPr>
        <w:t xml:space="preserve"> </w:t>
      </w:r>
      <w:r w:rsidRPr="008E2B66">
        <w:rPr>
          <w:rFonts w:ascii="Garamond" w:hAnsi="Garamond" w:cs="Arial"/>
          <w:sz w:val="26"/>
          <w:szCs w:val="26"/>
        </w:rPr>
        <w:t xml:space="preserve">del </w:t>
      </w:r>
      <w:r w:rsidR="00734A00" w:rsidRPr="008E2B66">
        <w:rPr>
          <w:rFonts w:ascii="Garamond" w:hAnsi="Garamond" w:cs="Arial"/>
          <w:sz w:val="26"/>
          <w:szCs w:val="26"/>
        </w:rPr>
        <w:t>18</w:t>
      </w:r>
      <w:r w:rsidR="00D51880">
        <w:rPr>
          <w:rFonts w:ascii="Garamond" w:hAnsi="Garamond" w:cs="Arial"/>
          <w:sz w:val="26"/>
          <w:szCs w:val="26"/>
        </w:rPr>
        <w:t xml:space="preserve"> giugno </w:t>
      </w:r>
      <w:r w:rsidR="002D3160" w:rsidRPr="008E2B66">
        <w:rPr>
          <w:rFonts w:ascii="Garamond" w:hAnsi="Garamond" w:cs="Arial"/>
          <w:sz w:val="26"/>
          <w:szCs w:val="26"/>
        </w:rPr>
        <w:t>202</w:t>
      </w:r>
      <w:r w:rsidR="00734A00" w:rsidRPr="008E2B66">
        <w:rPr>
          <w:rFonts w:ascii="Garamond" w:hAnsi="Garamond" w:cs="Arial"/>
          <w:sz w:val="26"/>
          <w:szCs w:val="26"/>
        </w:rPr>
        <w:t>5</w:t>
      </w:r>
      <w:r w:rsidR="002D3160" w:rsidRPr="008E2B66">
        <w:rPr>
          <w:rFonts w:ascii="Garamond" w:hAnsi="Garamond" w:cs="Arial"/>
          <w:sz w:val="26"/>
          <w:szCs w:val="26"/>
        </w:rPr>
        <w:t xml:space="preserve"> </w:t>
      </w:r>
      <w:r w:rsidRPr="008E2B66">
        <w:rPr>
          <w:rFonts w:ascii="Garamond" w:hAnsi="Garamond" w:cs="Arial"/>
          <w:sz w:val="26"/>
          <w:szCs w:val="26"/>
        </w:rPr>
        <w:t>e n</w:t>
      </w:r>
      <w:r w:rsidR="002D3160" w:rsidRPr="008E2B66">
        <w:rPr>
          <w:rFonts w:ascii="Garamond" w:hAnsi="Garamond" w:cs="Arial"/>
          <w:sz w:val="26"/>
          <w:szCs w:val="26"/>
        </w:rPr>
        <w:t xml:space="preserve">. </w:t>
      </w:r>
      <w:r w:rsidR="00F61908" w:rsidRPr="008E2B66">
        <w:rPr>
          <w:rFonts w:ascii="Garamond" w:hAnsi="Garamond" w:cs="Arial"/>
          <w:sz w:val="26"/>
          <w:szCs w:val="26"/>
        </w:rPr>
        <w:t>75102</w:t>
      </w:r>
      <w:r w:rsidR="002D3160" w:rsidRPr="008E2B66">
        <w:rPr>
          <w:rFonts w:ascii="Garamond" w:hAnsi="Garamond" w:cs="Arial"/>
          <w:sz w:val="26"/>
          <w:szCs w:val="26"/>
        </w:rPr>
        <w:t>,</w:t>
      </w:r>
      <w:r w:rsidRPr="008E2B66">
        <w:rPr>
          <w:rFonts w:ascii="Garamond" w:hAnsi="Garamond" w:cs="Arial"/>
          <w:sz w:val="26"/>
          <w:szCs w:val="26"/>
        </w:rPr>
        <w:t xml:space="preserve"> n</w:t>
      </w:r>
      <w:r w:rsidR="002D3160" w:rsidRPr="008E2B66">
        <w:rPr>
          <w:rFonts w:ascii="Garamond" w:hAnsi="Garamond" w:cs="Arial"/>
          <w:sz w:val="26"/>
          <w:szCs w:val="26"/>
        </w:rPr>
        <w:t xml:space="preserve">. </w:t>
      </w:r>
      <w:r w:rsidR="00BB2D14" w:rsidRPr="008E2B66">
        <w:rPr>
          <w:rFonts w:ascii="Garamond" w:hAnsi="Garamond" w:cs="Arial"/>
          <w:sz w:val="26"/>
          <w:szCs w:val="26"/>
        </w:rPr>
        <w:t>75110</w:t>
      </w:r>
      <w:r w:rsidRPr="008E2B66">
        <w:rPr>
          <w:rFonts w:ascii="Garamond" w:hAnsi="Garamond" w:cs="Arial"/>
          <w:sz w:val="26"/>
          <w:szCs w:val="26"/>
        </w:rPr>
        <w:t xml:space="preserve">, n. </w:t>
      </w:r>
      <w:r w:rsidR="00BB2D14" w:rsidRPr="008E2B66">
        <w:rPr>
          <w:rFonts w:ascii="Garamond" w:hAnsi="Garamond" w:cs="Arial"/>
          <w:sz w:val="26"/>
          <w:szCs w:val="26"/>
        </w:rPr>
        <w:t>75144</w:t>
      </w:r>
      <w:r w:rsidR="00203E59" w:rsidRPr="008E2B66">
        <w:rPr>
          <w:rFonts w:ascii="Garamond" w:hAnsi="Garamond" w:cs="Arial"/>
          <w:sz w:val="26"/>
          <w:szCs w:val="26"/>
        </w:rPr>
        <w:t>, n. 75145, n. 75146</w:t>
      </w:r>
      <w:r w:rsidR="002D3160" w:rsidRPr="008E2B66">
        <w:rPr>
          <w:rFonts w:ascii="Garamond" w:hAnsi="Garamond" w:cs="Arial"/>
          <w:sz w:val="26"/>
          <w:szCs w:val="26"/>
        </w:rPr>
        <w:t xml:space="preserve"> </w:t>
      </w:r>
      <w:r w:rsidRPr="008E2B66">
        <w:rPr>
          <w:rFonts w:ascii="Garamond" w:hAnsi="Garamond" w:cs="Arial"/>
          <w:sz w:val="26"/>
          <w:szCs w:val="26"/>
        </w:rPr>
        <w:t>del</w:t>
      </w:r>
      <w:r w:rsidR="002D3160" w:rsidRPr="008E2B66">
        <w:rPr>
          <w:rFonts w:ascii="Garamond" w:hAnsi="Garamond" w:cs="Arial"/>
          <w:sz w:val="26"/>
          <w:szCs w:val="26"/>
        </w:rPr>
        <w:t>l’</w:t>
      </w:r>
      <w:r w:rsidR="00203E59" w:rsidRPr="008E2B66">
        <w:rPr>
          <w:rFonts w:ascii="Garamond" w:hAnsi="Garamond" w:cs="Arial"/>
          <w:sz w:val="26"/>
          <w:szCs w:val="26"/>
        </w:rPr>
        <w:t>13</w:t>
      </w:r>
      <w:r w:rsidR="00D51880">
        <w:rPr>
          <w:rFonts w:ascii="Garamond" w:hAnsi="Garamond" w:cs="Arial"/>
          <w:sz w:val="26"/>
          <w:szCs w:val="26"/>
        </w:rPr>
        <w:t xml:space="preserve"> ottobre </w:t>
      </w:r>
      <w:r w:rsidR="002D3160" w:rsidRPr="008E2B66">
        <w:rPr>
          <w:rFonts w:ascii="Garamond" w:hAnsi="Garamond" w:cs="Arial"/>
          <w:sz w:val="26"/>
          <w:szCs w:val="26"/>
        </w:rPr>
        <w:t>202</w:t>
      </w:r>
      <w:r w:rsidR="00203E59" w:rsidRPr="008E2B66">
        <w:rPr>
          <w:rFonts w:ascii="Garamond" w:hAnsi="Garamond" w:cs="Arial"/>
          <w:sz w:val="26"/>
          <w:szCs w:val="26"/>
        </w:rPr>
        <w:t>5 e n. 75</w:t>
      </w:r>
      <w:r w:rsidR="007C1EC2" w:rsidRPr="008E2B66">
        <w:rPr>
          <w:rFonts w:ascii="Garamond" w:hAnsi="Garamond" w:cs="Arial"/>
          <w:sz w:val="26"/>
          <w:szCs w:val="26"/>
        </w:rPr>
        <w:t>580 del 14</w:t>
      </w:r>
      <w:r w:rsidR="00D51880">
        <w:rPr>
          <w:rFonts w:ascii="Garamond" w:hAnsi="Garamond" w:cs="Arial"/>
          <w:sz w:val="26"/>
          <w:szCs w:val="26"/>
        </w:rPr>
        <w:t xml:space="preserve"> ottobre </w:t>
      </w:r>
      <w:r w:rsidR="007C1EC2" w:rsidRPr="008E2B66">
        <w:rPr>
          <w:rFonts w:ascii="Garamond" w:hAnsi="Garamond" w:cs="Arial"/>
          <w:sz w:val="26"/>
          <w:szCs w:val="26"/>
        </w:rPr>
        <w:t>2025</w:t>
      </w:r>
      <w:r w:rsidR="00A35122">
        <w:rPr>
          <w:rFonts w:ascii="Garamond" w:hAnsi="Garamond" w:cs="Arial"/>
          <w:sz w:val="26"/>
          <w:szCs w:val="26"/>
        </w:rPr>
        <w:t xml:space="preserve"> - </w:t>
      </w:r>
      <w:r w:rsidRPr="008E2B66">
        <w:rPr>
          <w:rFonts w:ascii="Garamond" w:hAnsi="Garamond" w:cs="Arial"/>
          <w:sz w:val="26"/>
          <w:szCs w:val="26"/>
        </w:rPr>
        <w:t xml:space="preserve">sono stati avviati i monitoraggi </w:t>
      </w:r>
      <w:r w:rsidRPr="008E2B66">
        <w:rPr>
          <w:rFonts w:ascii="Garamond" w:eastAsiaTheme="minorHAnsi" w:hAnsi="Garamond" w:cs="Arial"/>
          <w:sz w:val="26"/>
          <w:szCs w:val="26"/>
        </w:rPr>
        <w:t>al fine di acquisire le informazioni necessarie alla verifica presso i Dirigenti, i Direttori dei Centri</w:t>
      </w:r>
      <w:r w:rsidR="007C1EC2" w:rsidRPr="008E2B66">
        <w:rPr>
          <w:rFonts w:ascii="Garamond" w:eastAsiaTheme="minorHAnsi" w:hAnsi="Garamond" w:cs="Arial"/>
          <w:sz w:val="26"/>
          <w:szCs w:val="26"/>
        </w:rPr>
        <w:t>,</w:t>
      </w:r>
      <w:r w:rsidRPr="008E2B66">
        <w:rPr>
          <w:rFonts w:ascii="Garamond" w:eastAsiaTheme="minorHAnsi" w:hAnsi="Garamond" w:cs="Arial"/>
          <w:sz w:val="26"/>
          <w:szCs w:val="26"/>
        </w:rPr>
        <w:t xml:space="preserve"> il Direttore Generale</w:t>
      </w:r>
      <w:r w:rsidR="007C1EC2" w:rsidRPr="008E2B66">
        <w:rPr>
          <w:rFonts w:ascii="Garamond" w:eastAsiaTheme="minorHAnsi" w:hAnsi="Garamond" w:cs="Arial"/>
          <w:sz w:val="26"/>
          <w:szCs w:val="26"/>
        </w:rPr>
        <w:t xml:space="preserve"> </w:t>
      </w:r>
      <w:r w:rsidR="007C1EC2" w:rsidRPr="00553B04">
        <w:rPr>
          <w:rFonts w:ascii="Garamond" w:eastAsiaTheme="minorHAnsi" w:hAnsi="Garamond" w:cs="Arial"/>
          <w:sz w:val="26"/>
          <w:szCs w:val="26"/>
        </w:rPr>
        <w:t xml:space="preserve">e il </w:t>
      </w:r>
      <w:r w:rsidR="00FE6E88" w:rsidRPr="00553B04">
        <w:rPr>
          <w:rFonts w:ascii="Garamond" w:eastAsiaTheme="minorHAnsi" w:hAnsi="Garamond" w:cs="Arial"/>
          <w:sz w:val="26"/>
          <w:szCs w:val="26"/>
        </w:rPr>
        <w:t>D</w:t>
      </w:r>
      <w:r w:rsidR="007C1EC2" w:rsidRPr="00553B04">
        <w:rPr>
          <w:rFonts w:ascii="Garamond" w:eastAsiaTheme="minorHAnsi" w:hAnsi="Garamond" w:cs="Arial"/>
          <w:sz w:val="26"/>
          <w:szCs w:val="26"/>
        </w:rPr>
        <w:t>irettore</w:t>
      </w:r>
      <w:r w:rsidR="00096CE8" w:rsidRPr="00553B04">
        <w:rPr>
          <w:rFonts w:ascii="Garamond" w:eastAsiaTheme="minorHAnsi" w:hAnsi="Garamond" w:cs="Arial"/>
          <w:sz w:val="26"/>
          <w:szCs w:val="26"/>
        </w:rPr>
        <w:t xml:space="preserve"> della </w:t>
      </w:r>
      <w:r w:rsidR="003D3DA4" w:rsidRPr="00553B04">
        <w:rPr>
          <w:rFonts w:ascii="Garamond" w:eastAsiaTheme="minorHAnsi" w:hAnsi="Garamond" w:cs="Arial"/>
          <w:sz w:val="26"/>
          <w:szCs w:val="26"/>
        </w:rPr>
        <w:t>D</w:t>
      </w:r>
      <w:r w:rsidR="00096CE8" w:rsidRPr="00553B04">
        <w:rPr>
          <w:rFonts w:ascii="Garamond" w:eastAsiaTheme="minorHAnsi" w:hAnsi="Garamond" w:cs="Arial"/>
          <w:sz w:val="26"/>
          <w:szCs w:val="26"/>
        </w:rPr>
        <w:t xml:space="preserve">irezione </w:t>
      </w:r>
      <w:r w:rsidR="00FE6E88" w:rsidRPr="00553B04">
        <w:rPr>
          <w:rFonts w:ascii="Garamond" w:eastAsiaTheme="minorHAnsi" w:hAnsi="Garamond" w:cs="Arial"/>
          <w:sz w:val="26"/>
          <w:szCs w:val="26"/>
        </w:rPr>
        <w:t xml:space="preserve">dei </w:t>
      </w:r>
      <w:r w:rsidR="003D3DA4" w:rsidRPr="00553B04">
        <w:rPr>
          <w:rFonts w:ascii="Garamond" w:eastAsiaTheme="minorHAnsi" w:hAnsi="Garamond" w:cs="Arial"/>
          <w:i/>
          <w:iCs/>
          <w:sz w:val="26"/>
          <w:szCs w:val="26"/>
        </w:rPr>
        <w:t>S</w:t>
      </w:r>
      <w:r w:rsidR="00FE6E88" w:rsidRPr="00553B04">
        <w:rPr>
          <w:rFonts w:ascii="Garamond" w:eastAsiaTheme="minorHAnsi" w:hAnsi="Garamond" w:cs="Arial"/>
          <w:i/>
          <w:iCs/>
          <w:sz w:val="26"/>
          <w:szCs w:val="26"/>
        </w:rPr>
        <w:t>ervizi amministrativi</w:t>
      </w:r>
      <w:r w:rsidR="00FE6E88" w:rsidRPr="00553B04">
        <w:rPr>
          <w:rFonts w:ascii="Garamond" w:eastAsiaTheme="minorHAnsi" w:hAnsi="Garamond" w:cs="Arial"/>
          <w:sz w:val="26"/>
          <w:szCs w:val="26"/>
        </w:rPr>
        <w:t xml:space="preserve"> e il </w:t>
      </w:r>
      <w:r w:rsidR="00DF1D56" w:rsidRPr="00553B04">
        <w:rPr>
          <w:rFonts w:ascii="Garamond" w:eastAsiaTheme="minorHAnsi" w:hAnsi="Garamond" w:cs="Arial"/>
          <w:sz w:val="26"/>
          <w:szCs w:val="26"/>
        </w:rPr>
        <w:t>D</w:t>
      </w:r>
      <w:r w:rsidR="00FE6E88" w:rsidRPr="00553B04">
        <w:rPr>
          <w:rFonts w:ascii="Garamond" w:eastAsiaTheme="minorHAnsi" w:hAnsi="Garamond" w:cs="Arial"/>
          <w:sz w:val="26"/>
          <w:szCs w:val="26"/>
        </w:rPr>
        <w:t>irettore della</w:t>
      </w:r>
      <w:r w:rsidRPr="00553B04">
        <w:rPr>
          <w:rFonts w:ascii="Garamond" w:eastAsiaTheme="minorHAnsi" w:hAnsi="Garamond" w:cs="Arial"/>
          <w:sz w:val="26"/>
          <w:szCs w:val="26"/>
        </w:rPr>
        <w:t xml:space="preserve"> </w:t>
      </w:r>
      <w:r w:rsidR="00DF1D56" w:rsidRPr="003845D8">
        <w:rPr>
          <w:rFonts w:ascii="Garamond" w:eastAsiaTheme="minorHAnsi" w:hAnsi="Garamond" w:cs="Arial"/>
          <w:i/>
          <w:iCs/>
          <w:sz w:val="26"/>
          <w:szCs w:val="26"/>
        </w:rPr>
        <w:t>Direzione</w:t>
      </w:r>
      <w:r w:rsidR="00DF1D56" w:rsidRPr="00553B04">
        <w:rPr>
          <w:rFonts w:ascii="Garamond" w:eastAsiaTheme="minorHAnsi" w:hAnsi="Garamond" w:cs="Arial"/>
          <w:sz w:val="26"/>
          <w:szCs w:val="26"/>
        </w:rPr>
        <w:t xml:space="preserve"> </w:t>
      </w:r>
      <w:r w:rsidR="00DF1D56" w:rsidRPr="00553B04">
        <w:rPr>
          <w:rFonts w:ascii="Garamond" w:eastAsiaTheme="minorHAnsi" w:hAnsi="Garamond" w:cs="Arial"/>
          <w:i/>
          <w:iCs/>
          <w:sz w:val="26"/>
          <w:szCs w:val="26"/>
        </w:rPr>
        <w:t>Tecnico</w:t>
      </w:r>
      <w:r w:rsidR="002B4947" w:rsidRPr="00553B04">
        <w:rPr>
          <w:rFonts w:ascii="Garamond" w:eastAsiaTheme="minorHAnsi" w:hAnsi="Garamond" w:cs="Arial"/>
          <w:i/>
          <w:iCs/>
          <w:sz w:val="26"/>
          <w:szCs w:val="26"/>
        </w:rPr>
        <w:t xml:space="preserve"> - </w:t>
      </w:r>
      <w:r w:rsidR="003F1CA5" w:rsidRPr="00553B04">
        <w:rPr>
          <w:rFonts w:ascii="Garamond" w:eastAsiaTheme="minorHAnsi" w:hAnsi="Garamond" w:cs="Arial"/>
          <w:i/>
          <w:iCs/>
          <w:sz w:val="26"/>
          <w:szCs w:val="26"/>
        </w:rPr>
        <w:t>scientific</w:t>
      </w:r>
      <w:r w:rsidR="002254D2" w:rsidRPr="00553B04">
        <w:rPr>
          <w:rFonts w:ascii="Garamond" w:eastAsiaTheme="minorHAnsi" w:hAnsi="Garamond" w:cs="Arial"/>
          <w:i/>
          <w:iCs/>
          <w:sz w:val="26"/>
          <w:szCs w:val="26"/>
        </w:rPr>
        <w:t>a</w:t>
      </w:r>
      <w:r w:rsidR="002254D2" w:rsidRPr="008E2B66">
        <w:rPr>
          <w:rFonts w:ascii="Garamond" w:eastAsiaTheme="minorHAnsi" w:hAnsi="Garamond" w:cs="Arial"/>
          <w:sz w:val="26"/>
          <w:szCs w:val="26"/>
        </w:rPr>
        <w:t xml:space="preserve"> </w:t>
      </w:r>
      <w:r w:rsidRPr="008E2B66">
        <w:rPr>
          <w:rFonts w:ascii="Garamond" w:hAnsi="Garamond" w:cs="Arial"/>
          <w:sz w:val="26"/>
          <w:szCs w:val="26"/>
        </w:rPr>
        <w:t>in attuazione dell’</w:t>
      </w:r>
      <w:r w:rsidRPr="008E2B66">
        <w:rPr>
          <w:rFonts w:ascii="Garamond" w:eastAsiaTheme="minorHAnsi" w:hAnsi="Garamond" w:cs="Arial"/>
          <w:sz w:val="26"/>
          <w:szCs w:val="26"/>
        </w:rPr>
        <w:t xml:space="preserve">obbligo di collaborazione attiva con il </w:t>
      </w:r>
      <w:r w:rsidRPr="008E2B66">
        <w:rPr>
          <w:rFonts w:ascii="Garamond" w:hAnsi="Garamond" w:cs="Arial"/>
          <w:sz w:val="26"/>
          <w:szCs w:val="26"/>
        </w:rPr>
        <w:t xml:space="preserve">RPCT. </w:t>
      </w:r>
    </w:p>
    <w:p w14:paraId="5BC352AA" w14:textId="1D8E58EF" w:rsidR="007B6EC1" w:rsidRPr="008E2B66" w:rsidRDefault="007B6EC1" w:rsidP="00206719">
      <w:pPr>
        <w:autoSpaceDE w:val="0"/>
        <w:autoSpaceDN w:val="0"/>
        <w:adjustRightInd w:val="0"/>
        <w:spacing w:after="80" w:line="276" w:lineRule="auto"/>
        <w:jc w:val="both"/>
        <w:rPr>
          <w:rFonts w:ascii="Garamond" w:hAnsi="Garamond" w:cs="Arial"/>
          <w:strike/>
          <w:sz w:val="26"/>
          <w:szCs w:val="26"/>
        </w:rPr>
      </w:pPr>
      <w:r w:rsidRPr="008E2B66">
        <w:rPr>
          <w:rFonts w:ascii="Garamond" w:hAnsi="Garamond" w:cs="Arial"/>
          <w:sz w:val="26"/>
          <w:szCs w:val="26"/>
        </w:rPr>
        <w:t>I due monitoraggi effettuati nell’anno 202</w:t>
      </w:r>
      <w:r w:rsidR="00C87C97" w:rsidRPr="008E2B66">
        <w:rPr>
          <w:rFonts w:ascii="Garamond" w:hAnsi="Garamond" w:cs="Arial"/>
          <w:sz w:val="26"/>
          <w:szCs w:val="26"/>
        </w:rPr>
        <w:t>5</w:t>
      </w:r>
      <w:r w:rsidR="00A35122">
        <w:rPr>
          <w:rFonts w:ascii="Garamond" w:hAnsi="Garamond" w:cs="Arial"/>
          <w:sz w:val="26"/>
          <w:szCs w:val="26"/>
        </w:rPr>
        <w:t xml:space="preserve"> - </w:t>
      </w:r>
      <w:r w:rsidR="006727A1" w:rsidRPr="008E2B66">
        <w:rPr>
          <w:rFonts w:ascii="Garamond" w:hAnsi="Garamond" w:cs="Arial"/>
          <w:sz w:val="26"/>
          <w:szCs w:val="26"/>
        </w:rPr>
        <w:t>mediante</w:t>
      </w:r>
      <w:r w:rsidRPr="008E2B66">
        <w:rPr>
          <w:rFonts w:ascii="Garamond" w:hAnsi="Garamond" w:cs="Arial"/>
          <w:sz w:val="26"/>
          <w:szCs w:val="26"/>
        </w:rPr>
        <w:t xml:space="preserve"> l’invio di apposite schede</w:t>
      </w:r>
      <w:r w:rsidR="00A35122">
        <w:rPr>
          <w:rFonts w:ascii="Garamond" w:hAnsi="Garamond" w:cs="Arial"/>
          <w:sz w:val="26"/>
          <w:szCs w:val="26"/>
        </w:rPr>
        <w:t xml:space="preserve"> - </w:t>
      </w:r>
      <w:r w:rsidRPr="008E2B66">
        <w:rPr>
          <w:rFonts w:ascii="Garamond" w:hAnsi="Garamond" w:cs="Arial"/>
          <w:sz w:val="26"/>
          <w:szCs w:val="26"/>
        </w:rPr>
        <w:t xml:space="preserve">hanno riguardato sia le misure </w:t>
      </w:r>
      <w:r w:rsidRPr="00A35122">
        <w:rPr>
          <w:rFonts w:ascii="Garamond" w:hAnsi="Garamond" w:cs="Arial"/>
          <w:i/>
          <w:iCs/>
          <w:sz w:val="26"/>
          <w:szCs w:val="26"/>
        </w:rPr>
        <w:t>generali</w:t>
      </w:r>
      <w:r w:rsidRPr="008E2B66">
        <w:rPr>
          <w:rFonts w:ascii="Garamond" w:hAnsi="Garamond" w:cs="Arial"/>
          <w:sz w:val="26"/>
          <w:szCs w:val="26"/>
        </w:rPr>
        <w:t xml:space="preserve"> che quelle </w:t>
      </w:r>
      <w:r w:rsidRPr="00A35122">
        <w:rPr>
          <w:rFonts w:ascii="Garamond" w:hAnsi="Garamond" w:cs="Arial"/>
          <w:i/>
          <w:iCs/>
          <w:sz w:val="26"/>
          <w:szCs w:val="26"/>
        </w:rPr>
        <w:t>specifiche</w:t>
      </w:r>
      <w:r w:rsidRPr="008E2B66">
        <w:rPr>
          <w:rFonts w:ascii="Garamond" w:hAnsi="Garamond" w:cs="Arial"/>
          <w:sz w:val="26"/>
          <w:szCs w:val="26"/>
        </w:rPr>
        <w:t>. L’obiettivo della prima verifica è stato quello di rilevare lo stato di applicazione delle misure</w:t>
      </w:r>
      <w:r w:rsidR="002B4947">
        <w:rPr>
          <w:rFonts w:ascii="Garamond" w:hAnsi="Garamond" w:cs="Arial"/>
          <w:sz w:val="26"/>
          <w:szCs w:val="26"/>
        </w:rPr>
        <w:t>; c</w:t>
      </w:r>
      <w:r w:rsidRPr="008E2B66">
        <w:rPr>
          <w:rFonts w:ascii="Garamond" w:hAnsi="Garamond" w:cs="Arial"/>
          <w:sz w:val="26"/>
          <w:szCs w:val="26"/>
        </w:rPr>
        <w:t>on il secondo monitoraggio, invece, si è focalizzata l’attenzione, in particolar modo, sulle misure che</w:t>
      </w:r>
      <w:r w:rsidR="00CD07EA">
        <w:rPr>
          <w:rFonts w:ascii="Garamond" w:hAnsi="Garamond" w:cs="Arial"/>
          <w:sz w:val="26"/>
          <w:szCs w:val="26"/>
        </w:rPr>
        <w:t>,</w:t>
      </w:r>
      <w:r w:rsidRPr="008E2B66">
        <w:rPr>
          <w:rFonts w:ascii="Garamond" w:hAnsi="Garamond" w:cs="Arial"/>
          <w:sz w:val="26"/>
          <w:szCs w:val="26"/>
        </w:rPr>
        <w:t xml:space="preserve"> all’esito del primo, venivano indicate come non attuate e ciò anche al fine di individuare le eventuali azioni correttive necessarie. </w:t>
      </w:r>
      <w:r w:rsidR="001E7830" w:rsidRPr="008E2B66">
        <w:rPr>
          <w:rFonts w:ascii="Garamond" w:hAnsi="Garamond" w:cs="Arial"/>
          <w:sz w:val="26"/>
          <w:szCs w:val="26"/>
        </w:rPr>
        <w:t>Nel secondo monitoraggio</w:t>
      </w:r>
      <w:r w:rsidR="00A35122">
        <w:rPr>
          <w:rFonts w:ascii="Garamond" w:hAnsi="Garamond" w:cs="Arial"/>
          <w:sz w:val="26"/>
          <w:szCs w:val="26"/>
        </w:rPr>
        <w:t xml:space="preserve"> - </w:t>
      </w:r>
      <w:r w:rsidR="001E7830" w:rsidRPr="008E2B66">
        <w:rPr>
          <w:rFonts w:ascii="Garamond" w:hAnsi="Garamond" w:cs="Arial"/>
          <w:sz w:val="26"/>
          <w:szCs w:val="26"/>
        </w:rPr>
        <w:t xml:space="preserve">unitamente alla scheda </w:t>
      </w:r>
      <w:r w:rsidR="003F50A2" w:rsidRPr="008E2B66">
        <w:rPr>
          <w:rFonts w:ascii="Garamond" w:hAnsi="Garamond" w:cs="Arial"/>
          <w:sz w:val="26"/>
          <w:szCs w:val="26"/>
        </w:rPr>
        <w:t xml:space="preserve">sulle </w:t>
      </w:r>
      <w:r w:rsidR="003F50A2" w:rsidRPr="00A35122">
        <w:rPr>
          <w:rFonts w:ascii="Garamond" w:hAnsi="Garamond" w:cs="Arial"/>
          <w:i/>
          <w:iCs/>
          <w:sz w:val="26"/>
          <w:szCs w:val="26"/>
        </w:rPr>
        <w:t>misure anticorruzione</w:t>
      </w:r>
      <w:r w:rsidR="00A35122">
        <w:rPr>
          <w:rFonts w:ascii="Garamond" w:hAnsi="Garamond" w:cs="Arial"/>
          <w:sz w:val="26"/>
          <w:szCs w:val="26"/>
        </w:rPr>
        <w:t xml:space="preserve"> - </w:t>
      </w:r>
      <w:r w:rsidR="003F50A2" w:rsidRPr="008E2B66">
        <w:rPr>
          <w:rFonts w:ascii="Garamond" w:hAnsi="Garamond" w:cs="Arial"/>
          <w:sz w:val="26"/>
          <w:szCs w:val="26"/>
        </w:rPr>
        <w:t xml:space="preserve">è stata trasmessa anche una scheda </w:t>
      </w:r>
      <w:r w:rsidR="001D2121" w:rsidRPr="008E2B66">
        <w:rPr>
          <w:rFonts w:ascii="Garamond" w:hAnsi="Garamond" w:cs="Arial"/>
          <w:sz w:val="26"/>
          <w:szCs w:val="26"/>
        </w:rPr>
        <w:t xml:space="preserve">per monitorare </w:t>
      </w:r>
      <w:r w:rsidR="001D2121" w:rsidRPr="00A35122">
        <w:rPr>
          <w:rFonts w:ascii="Garamond" w:hAnsi="Garamond" w:cs="Arial"/>
          <w:i/>
          <w:iCs/>
          <w:sz w:val="26"/>
          <w:szCs w:val="26"/>
        </w:rPr>
        <w:t>gli obblighi di pubblicazione</w:t>
      </w:r>
      <w:r w:rsidR="00CF5A89" w:rsidRPr="008E2B66">
        <w:rPr>
          <w:rFonts w:ascii="Garamond" w:hAnsi="Garamond" w:cs="Arial"/>
          <w:sz w:val="26"/>
          <w:szCs w:val="26"/>
        </w:rPr>
        <w:t xml:space="preserve">. </w:t>
      </w:r>
    </w:p>
    <w:p w14:paraId="300D7E93" w14:textId="4B2F601D" w:rsidR="00643C59" w:rsidRPr="008E2B66" w:rsidRDefault="004F3827" w:rsidP="001E1540">
      <w:pPr>
        <w:autoSpaceDE w:val="0"/>
        <w:autoSpaceDN w:val="0"/>
        <w:adjustRightInd w:val="0"/>
        <w:spacing w:after="80" w:line="276" w:lineRule="auto"/>
        <w:jc w:val="both"/>
        <w:rPr>
          <w:rFonts w:ascii="Garamond" w:hAnsi="Garamond" w:cs="Arial"/>
          <w:sz w:val="26"/>
          <w:szCs w:val="26"/>
        </w:rPr>
      </w:pPr>
      <w:r w:rsidRPr="008E2B66">
        <w:rPr>
          <w:rFonts w:ascii="Garamond" w:hAnsi="Garamond" w:cs="Arial"/>
          <w:sz w:val="26"/>
          <w:szCs w:val="26"/>
        </w:rPr>
        <w:t>Gli esiti dei monitoraggi hanno dunque costituito la base di partenza per la programmazione delle misure per il triennio 202</w:t>
      </w:r>
      <w:r w:rsidR="00CF5A89" w:rsidRPr="008E2B66">
        <w:rPr>
          <w:rFonts w:ascii="Garamond" w:hAnsi="Garamond" w:cs="Arial"/>
          <w:sz w:val="26"/>
          <w:szCs w:val="26"/>
        </w:rPr>
        <w:t>6</w:t>
      </w:r>
      <w:r w:rsidR="002B4947">
        <w:rPr>
          <w:rFonts w:ascii="Garamond" w:hAnsi="Garamond" w:cs="Arial"/>
          <w:sz w:val="26"/>
          <w:szCs w:val="26"/>
        </w:rPr>
        <w:t>/</w:t>
      </w:r>
      <w:r w:rsidRPr="008E2B66">
        <w:rPr>
          <w:rFonts w:ascii="Garamond" w:hAnsi="Garamond" w:cs="Arial"/>
          <w:sz w:val="26"/>
          <w:szCs w:val="26"/>
        </w:rPr>
        <w:t>202</w:t>
      </w:r>
      <w:r w:rsidR="00CF5A89" w:rsidRPr="008E2B66">
        <w:rPr>
          <w:rFonts w:ascii="Garamond" w:hAnsi="Garamond" w:cs="Arial"/>
          <w:sz w:val="26"/>
          <w:szCs w:val="26"/>
        </w:rPr>
        <w:t>8</w:t>
      </w:r>
      <w:r w:rsidRPr="008E2B66">
        <w:rPr>
          <w:rFonts w:ascii="Garamond" w:hAnsi="Garamond" w:cs="Arial"/>
          <w:sz w:val="26"/>
          <w:szCs w:val="26"/>
        </w:rPr>
        <w:t xml:space="preserve"> nonché per l’aggiornamento</w:t>
      </w:r>
      <w:r w:rsidRPr="008E2B66">
        <w:rPr>
          <w:rFonts w:ascii="Garamond" w:eastAsia="Arial Unicode MS" w:hAnsi="Garamond" w:cs="Arial"/>
          <w:sz w:val="26"/>
          <w:szCs w:val="26"/>
          <w:u w:color="000000"/>
          <w:bdr w:val="nil"/>
          <w:lang w:eastAsia="it-IT"/>
        </w:rPr>
        <w:t xml:space="preserve"> dell’</w:t>
      </w:r>
      <w:r w:rsidR="00A35122" w:rsidRPr="00A35122">
        <w:rPr>
          <w:rFonts w:ascii="Garamond" w:eastAsia="Arial Unicode MS" w:hAnsi="Garamond" w:cs="Arial"/>
          <w:i/>
          <w:iCs/>
          <w:sz w:val="26"/>
          <w:szCs w:val="26"/>
          <w:u w:color="000000"/>
          <w:bdr w:val="nil"/>
          <w:lang w:eastAsia="it-IT"/>
        </w:rPr>
        <w:t>A</w:t>
      </w:r>
      <w:r w:rsidRPr="00A35122">
        <w:rPr>
          <w:rFonts w:ascii="Garamond" w:eastAsia="Arial Unicode MS" w:hAnsi="Garamond" w:cs="Arial"/>
          <w:i/>
          <w:iCs/>
          <w:sz w:val="26"/>
          <w:szCs w:val="26"/>
          <w:u w:color="000000"/>
          <w:bdr w:val="nil"/>
          <w:lang w:eastAsia="it-IT"/>
        </w:rPr>
        <w:t xml:space="preserve">llegato </w:t>
      </w:r>
      <w:r w:rsidR="00620918" w:rsidRPr="00A35122">
        <w:rPr>
          <w:rFonts w:ascii="Garamond" w:eastAsia="Arial Unicode MS" w:hAnsi="Garamond" w:cs="Arial"/>
          <w:i/>
          <w:iCs/>
          <w:sz w:val="26"/>
          <w:szCs w:val="26"/>
          <w:u w:color="000000"/>
          <w:bdr w:val="nil"/>
          <w:lang w:eastAsia="it-IT"/>
        </w:rPr>
        <w:t>4</w:t>
      </w:r>
      <w:r w:rsidRPr="00A35122">
        <w:rPr>
          <w:rFonts w:ascii="Garamond" w:eastAsia="Arial Unicode MS" w:hAnsi="Garamond" w:cs="Arial"/>
          <w:i/>
          <w:iCs/>
          <w:sz w:val="26"/>
          <w:szCs w:val="26"/>
          <w:u w:color="000000"/>
          <w:bdr w:val="nil"/>
          <w:lang w:eastAsia="it-IT"/>
        </w:rPr>
        <w:t xml:space="preserve"> </w:t>
      </w:r>
      <w:r w:rsidRPr="008E2B66">
        <w:rPr>
          <w:rFonts w:ascii="Garamond" w:eastAsia="Arial Unicode MS" w:hAnsi="Garamond" w:cs="Arial"/>
          <w:sz w:val="26"/>
          <w:szCs w:val="26"/>
          <w:u w:color="000000"/>
          <w:bdr w:val="nil"/>
          <w:lang w:eastAsia="it-IT"/>
        </w:rPr>
        <w:t xml:space="preserve">del </w:t>
      </w:r>
      <w:hyperlink r:id="rId11" w:history="1">
        <w:r w:rsidRPr="008E2B66">
          <w:rPr>
            <w:rStyle w:val="Collegamentoipertestuale"/>
            <w:rFonts w:ascii="Garamond" w:eastAsia="Arial Unicode MS" w:hAnsi="Garamond" w:cs="Arial"/>
            <w:color w:val="auto"/>
            <w:sz w:val="26"/>
            <w:szCs w:val="26"/>
            <w:bdr w:val="nil"/>
            <w:lang w:eastAsia="it-IT"/>
          </w:rPr>
          <w:t>PIAO 202</w:t>
        </w:r>
        <w:r w:rsidR="00C94331" w:rsidRPr="008E2B66">
          <w:rPr>
            <w:rStyle w:val="Collegamentoipertestuale"/>
            <w:rFonts w:ascii="Garamond" w:eastAsia="Arial Unicode MS" w:hAnsi="Garamond" w:cs="Arial"/>
            <w:color w:val="auto"/>
            <w:sz w:val="26"/>
            <w:szCs w:val="26"/>
            <w:bdr w:val="nil"/>
            <w:lang w:eastAsia="it-IT"/>
          </w:rPr>
          <w:t>5</w:t>
        </w:r>
        <w:r w:rsidR="002B4947">
          <w:rPr>
            <w:rStyle w:val="Collegamentoipertestuale"/>
            <w:rFonts w:ascii="Garamond" w:eastAsia="Arial Unicode MS" w:hAnsi="Garamond" w:cs="Arial"/>
            <w:color w:val="auto"/>
            <w:sz w:val="26"/>
            <w:szCs w:val="26"/>
            <w:bdr w:val="nil"/>
            <w:lang w:eastAsia="it-IT"/>
          </w:rPr>
          <w:t>/</w:t>
        </w:r>
        <w:r w:rsidRPr="008E2B66">
          <w:rPr>
            <w:rStyle w:val="Collegamentoipertestuale"/>
            <w:rFonts w:ascii="Garamond" w:eastAsia="Arial Unicode MS" w:hAnsi="Garamond" w:cs="Arial"/>
            <w:color w:val="auto"/>
            <w:sz w:val="26"/>
            <w:szCs w:val="26"/>
            <w:bdr w:val="nil"/>
            <w:lang w:eastAsia="it-IT"/>
          </w:rPr>
          <w:t>202</w:t>
        </w:r>
        <w:r w:rsidR="00C94331" w:rsidRPr="008E2B66">
          <w:rPr>
            <w:rStyle w:val="Collegamentoipertestuale"/>
            <w:rFonts w:ascii="Garamond" w:eastAsia="Arial Unicode MS" w:hAnsi="Garamond" w:cs="Arial"/>
            <w:color w:val="auto"/>
            <w:sz w:val="26"/>
            <w:szCs w:val="26"/>
            <w:bdr w:val="nil"/>
            <w:lang w:eastAsia="it-IT"/>
          </w:rPr>
          <w:t>7</w:t>
        </w:r>
      </w:hyperlink>
      <w:r w:rsidRPr="008E2B66">
        <w:rPr>
          <w:rFonts w:ascii="Garamond" w:eastAsia="Arial Unicode MS" w:hAnsi="Garamond" w:cs="Arial"/>
          <w:sz w:val="26"/>
          <w:szCs w:val="26"/>
          <w:u w:color="000000"/>
          <w:bdr w:val="nil"/>
          <w:lang w:eastAsia="it-IT"/>
        </w:rPr>
        <w:t xml:space="preserve"> contenente le ipotesi dei rischi e le misure </w:t>
      </w:r>
      <w:r w:rsidR="00DB087D" w:rsidRPr="008E2B66">
        <w:rPr>
          <w:rFonts w:ascii="Garamond" w:eastAsia="Arial Unicode MS" w:hAnsi="Garamond" w:cs="Arial"/>
          <w:sz w:val="26"/>
          <w:szCs w:val="26"/>
          <w:u w:color="000000"/>
          <w:bdr w:val="nil"/>
          <w:lang w:eastAsia="it-IT"/>
        </w:rPr>
        <w:t xml:space="preserve">specifiche </w:t>
      </w:r>
      <w:r w:rsidR="002B4947">
        <w:rPr>
          <w:rFonts w:ascii="Garamond" w:eastAsia="Arial Unicode MS" w:hAnsi="Garamond" w:cs="Arial"/>
          <w:sz w:val="26"/>
          <w:szCs w:val="26"/>
          <w:u w:color="000000"/>
          <w:bdr w:val="nil"/>
          <w:lang w:eastAsia="it-IT"/>
        </w:rPr>
        <w:t xml:space="preserve">per gli </w:t>
      </w:r>
      <w:r w:rsidRPr="008E2B66">
        <w:rPr>
          <w:rFonts w:ascii="Garamond" w:eastAsia="Arial Unicode MS" w:hAnsi="Garamond" w:cs="Arial"/>
          <w:sz w:val="26"/>
          <w:szCs w:val="26"/>
          <w:u w:color="000000"/>
          <w:bdr w:val="nil"/>
          <w:lang w:eastAsia="it-IT"/>
        </w:rPr>
        <w:t xml:space="preserve">Uffici </w:t>
      </w:r>
      <w:r w:rsidR="002B4947">
        <w:rPr>
          <w:rFonts w:ascii="Garamond" w:eastAsia="Arial Unicode MS" w:hAnsi="Garamond" w:cs="Arial"/>
          <w:sz w:val="26"/>
          <w:szCs w:val="26"/>
          <w:u w:color="000000"/>
          <w:bdr w:val="nil"/>
          <w:lang w:eastAsia="it-IT"/>
        </w:rPr>
        <w:t xml:space="preserve">dell’Amministrazione centrale </w:t>
      </w:r>
      <w:r w:rsidRPr="008E2B66">
        <w:rPr>
          <w:rFonts w:ascii="Garamond" w:eastAsia="Arial Unicode MS" w:hAnsi="Garamond" w:cs="Arial"/>
          <w:sz w:val="26"/>
          <w:szCs w:val="26"/>
          <w:u w:color="000000"/>
          <w:bdr w:val="nil"/>
          <w:lang w:eastAsia="it-IT"/>
        </w:rPr>
        <w:t>e dei Centri</w:t>
      </w:r>
      <w:r w:rsidR="00DB087D" w:rsidRPr="008E2B66">
        <w:rPr>
          <w:rFonts w:ascii="Garamond" w:eastAsia="Arial Unicode MS" w:hAnsi="Garamond" w:cs="Arial"/>
          <w:sz w:val="26"/>
          <w:szCs w:val="26"/>
          <w:u w:color="000000"/>
          <w:bdr w:val="nil"/>
          <w:lang w:eastAsia="it-IT"/>
        </w:rPr>
        <w:t xml:space="preserve"> </w:t>
      </w:r>
      <w:r w:rsidR="002B4947">
        <w:rPr>
          <w:rFonts w:ascii="Garamond" w:eastAsia="Arial Unicode MS" w:hAnsi="Garamond" w:cs="Arial"/>
          <w:sz w:val="26"/>
          <w:szCs w:val="26"/>
          <w:u w:color="000000"/>
          <w:bdr w:val="nil"/>
          <w:lang w:eastAsia="it-IT"/>
        </w:rPr>
        <w:t xml:space="preserve">di ricerca </w:t>
      </w:r>
      <w:r w:rsidR="00DB087D" w:rsidRPr="008E2B66">
        <w:rPr>
          <w:rFonts w:ascii="Garamond" w:eastAsia="Arial Unicode MS" w:hAnsi="Garamond" w:cs="Arial"/>
          <w:sz w:val="26"/>
          <w:szCs w:val="26"/>
          <w:u w:color="000000"/>
          <w:bdr w:val="nil"/>
          <w:lang w:eastAsia="it-IT"/>
        </w:rPr>
        <w:t>(vedi infra</w:t>
      </w:r>
      <w:r w:rsidR="00DB087D" w:rsidRPr="008E2B66">
        <w:rPr>
          <w:rFonts w:ascii="Garamond" w:hAnsi="Garamond"/>
          <w:sz w:val="26"/>
          <w:szCs w:val="26"/>
        </w:rPr>
        <w:t xml:space="preserve"> </w:t>
      </w:r>
      <w:r w:rsidR="00DB087D" w:rsidRPr="008E2B66">
        <w:rPr>
          <w:rFonts w:ascii="Garamond" w:eastAsia="Arial Unicode MS" w:hAnsi="Garamond" w:cs="Arial"/>
          <w:sz w:val="26"/>
          <w:szCs w:val="26"/>
          <w:u w:color="000000"/>
          <w:bdr w:val="nil"/>
          <w:lang w:eastAsia="it-IT"/>
        </w:rPr>
        <w:t xml:space="preserve">§ </w:t>
      </w:r>
      <w:r w:rsidR="00A35122" w:rsidRPr="00A35122">
        <w:rPr>
          <w:rFonts w:ascii="Garamond" w:eastAsia="Arial Unicode MS" w:hAnsi="Garamond" w:cs="Arial"/>
          <w:i/>
          <w:iCs/>
          <w:sz w:val="26"/>
          <w:szCs w:val="26"/>
          <w:u w:color="000000"/>
          <w:bdr w:val="nil"/>
          <w:lang w:eastAsia="it-IT"/>
        </w:rPr>
        <w:t>M</w:t>
      </w:r>
      <w:r w:rsidR="00DB087D" w:rsidRPr="00A35122">
        <w:rPr>
          <w:rFonts w:ascii="Garamond" w:eastAsia="Arial Unicode MS" w:hAnsi="Garamond" w:cs="Arial"/>
          <w:i/>
          <w:iCs/>
          <w:sz w:val="26"/>
          <w:szCs w:val="26"/>
          <w:u w:color="000000"/>
          <w:bdr w:val="nil"/>
          <w:lang w:eastAsia="it-IT"/>
        </w:rPr>
        <w:t>isure specifiche di prevenzione</w:t>
      </w:r>
      <w:r w:rsidR="00DB087D" w:rsidRPr="008E2B66">
        <w:rPr>
          <w:rFonts w:ascii="Garamond" w:eastAsia="Arial Unicode MS" w:hAnsi="Garamond" w:cs="Arial"/>
          <w:sz w:val="26"/>
          <w:szCs w:val="26"/>
          <w:u w:color="000000"/>
          <w:bdr w:val="nil"/>
          <w:lang w:eastAsia="it-IT"/>
        </w:rPr>
        <w:t>).</w:t>
      </w:r>
      <w:r w:rsidR="00DB087D" w:rsidRPr="008E2B66">
        <w:rPr>
          <w:rFonts w:ascii="Garamond" w:hAnsi="Garamond" w:cs="Arial"/>
          <w:sz w:val="26"/>
          <w:szCs w:val="26"/>
        </w:rPr>
        <w:t xml:space="preserve"> </w:t>
      </w:r>
      <w:r w:rsidR="002B4947">
        <w:rPr>
          <w:rFonts w:ascii="Garamond" w:hAnsi="Garamond" w:cs="Arial"/>
          <w:sz w:val="26"/>
          <w:szCs w:val="26"/>
        </w:rPr>
        <w:t>Tale</w:t>
      </w:r>
      <w:r w:rsidR="00DB087D" w:rsidRPr="008E2B66">
        <w:rPr>
          <w:rFonts w:ascii="Garamond" w:hAnsi="Garamond" w:cs="Arial"/>
          <w:sz w:val="26"/>
          <w:szCs w:val="26"/>
        </w:rPr>
        <w:t xml:space="preserve"> aggiornamento è </w:t>
      </w:r>
      <w:r w:rsidR="001C73EE" w:rsidRPr="008E2B66">
        <w:rPr>
          <w:rFonts w:ascii="Garamond" w:hAnsi="Garamond" w:cs="Arial"/>
          <w:sz w:val="26"/>
          <w:szCs w:val="26"/>
        </w:rPr>
        <w:t xml:space="preserve">confluito </w:t>
      </w:r>
      <w:r w:rsidR="001C73EE" w:rsidRPr="00CA3D68">
        <w:rPr>
          <w:rFonts w:ascii="Garamond" w:hAnsi="Garamond" w:cs="Arial"/>
          <w:sz w:val="26"/>
          <w:szCs w:val="26"/>
        </w:rPr>
        <w:t>nell’</w:t>
      </w:r>
      <w:r w:rsidR="00A35122" w:rsidRPr="00CA3D68">
        <w:rPr>
          <w:rFonts w:ascii="Garamond" w:hAnsi="Garamond" w:cs="Arial"/>
          <w:i/>
          <w:iCs/>
          <w:sz w:val="26"/>
          <w:szCs w:val="26"/>
        </w:rPr>
        <w:t>A</w:t>
      </w:r>
      <w:r w:rsidR="001C73EE" w:rsidRPr="00CA3D68">
        <w:rPr>
          <w:rFonts w:ascii="Garamond" w:hAnsi="Garamond" w:cs="Arial"/>
          <w:i/>
          <w:iCs/>
          <w:sz w:val="26"/>
          <w:szCs w:val="26"/>
        </w:rPr>
        <w:t>llegato</w:t>
      </w:r>
      <w:r w:rsidR="00071F80" w:rsidRPr="00CA3D68">
        <w:rPr>
          <w:rFonts w:ascii="Garamond" w:hAnsi="Garamond" w:cs="Arial"/>
          <w:i/>
          <w:iCs/>
          <w:sz w:val="26"/>
          <w:szCs w:val="26"/>
        </w:rPr>
        <w:t xml:space="preserve"> </w:t>
      </w:r>
      <w:r w:rsidR="008731FC" w:rsidRPr="00CA3D68">
        <w:rPr>
          <w:rFonts w:ascii="Garamond" w:hAnsi="Garamond" w:cs="Arial"/>
          <w:sz w:val="26"/>
          <w:szCs w:val="26"/>
        </w:rPr>
        <w:t xml:space="preserve">1 </w:t>
      </w:r>
      <w:r w:rsidRPr="00CA3D68">
        <w:rPr>
          <w:rFonts w:ascii="Garamond" w:hAnsi="Garamond" w:cs="Arial"/>
          <w:sz w:val="26"/>
          <w:szCs w:val="26"/>
        </w:rPr>
        <w:t>al</w:t>
      </w:r>
      <w:r w:rsidR="002B4947" w:rsidRPr="00CA3D68">
        <w:rPr>
          <w:rFonts w:ascii="Garamond" w:hAnsi="Garamond" w:cs="Arial"/>
          <w:sz w:val="26"/>
          <w:szCs w:val="26"/>
        </w:rPr>
        <w:t>la</w:t>
      </w:r>
      <w:r w:rsidR="002B4947">
        <w:rPr>
          <w:rFonts w:ascii="Garamond" w:hAnsi="Garamond" w:cs="Arial"/>
          <w:sz w:val="26"/>
          <w:szCs w:val="26"/>
        </w:rPr>
        <w:t xml:space="preserve"> </w:t>
      </w:r>
      <w:r w:rsidRPr="008E2B66">
        <w:rPr>
          <w:rFonts w:ascii="Garamond" w:hAnsi="Garamond" w:cs="Arial"/>
          <w:sz w:val="26"/>
          <w:szCs w:val="26"/>
        </w:rPr>
        <w:t xml:space="preserve">presente </w:t>
      </w:r>
      <w:r w:rsidR="002B4947">
        <w:rPr>
          <w:rFonts w:ascii="Garamond" w:hAnsi="Garamond" w:cs="Arial"/>
          <w:sz w:val="26"/>
          <w:szCs w:val="26"/>
        </w:rPr>
        <w:t xml:space="preserve">sottosezione del </w:t>
      </w:r>
      <w:r w:rsidRPr="008E2B66">
        <w:rPr>
          <w:rFonts w:ascii="Garamond" w:hAnsi="Garamond" w:cs="Arial"/>
          <w:sz w:val="26"/>
          <w:szCs w:val="26"/>
        </w:rPr>
        <w:t>PIAO</w:t>
      </w:r>
      <w:bookmarkStart w:id="3" w:name="_Hlk184220590"/>
      <w:r w:rsidR="00DB087D" w:rsidRPr="008E2B66">
        <w:rPr>
          <w:rFonts w:ascii="Garamond" w:hAnsi="Garamond" w:cs="Arial"/>
          <w:sz w:val="26"/>
          <w:szCs w:val="26"/>
        </w:rPr>
        <w:t>.</w:t>
      </w:r>
      <w:bookmarkEnd w:id="3"/>
    </w:p>
    <w:p w14:paraId="06E958DC" w14:textId="77777777" w:rsidR="008C3EE8" w:rsidRPr="008E2B66" w:rsidRDefault="008C3EE8" w:rsidP="001E1540">
      <w:pPr>
        <w:autoSpaceDE w:val="0"/>
        <w:autoSpaceDN w:val="0"/>
        <w:adjustRightInd w:val="0"/>
        <w:spacing w:after="80" w:line="276" w:lineRule="auto"/>
        <w:jc w:val="both"/>
        <w:rPr>
          <w:rFonts w:ascii="Garamond" w:hAnsi="Garamond" w:cs="Arial"/>
          <w:sz w:val="26"/>
          <w:szCs w:val="26"/>
        </w:rPr>
      </w:pPr>
    </w:p>
    <w:p w14:paraId="56DB41A8" w14:textId="0C20909E" w:rsidR="00A327B7" w:rsidRPr="007321DB" w:rsidRDefault="00995954" w:rsidP="00B8265F">
      <w:pPr>
        <w:pStyle w:val="Paragrafoelenco"/>
        <w:numPr>
          <w:ilvl w:val="3"/>
          <w:numId w:val="23"/>
        </w:numPr>
        <w:spacing w:line="360" w:lineRule="auto"/>
        <w:jc w:val="both"/>
        <w:rPr>
          <w:rFonts w:ascii="Garamond" w:eastAsiaTheme="minorHAnsi" w:hAnsi="Garamond" w:cs="Arial"/>
          <w:b/>
          <w:bCs/>
          <w:sz w:val="26"/>
          <w:szCs w:val="26"/>
        </w:rPr>
      </w:pPr>
      <w:r w:rsidRPr="007321DB">
        <w:rPr>
          <w:rFonts w:ascii="Garamond" w:eastAsiaTheme="minorHAnsi" w:hAnsi="Garamond" w:cs="Arial"/>
          <w:b/>
          <w:bCs/>
          <w:sz w:val="26"/>
          <w:szCs w:val="26"/>
        </w:rPr>
        <w:t>Fabbisogno formativo</w:t>
      </w:r>
      <w:r w:rsidR="00411D19" w:rsidRPr="007321DB">
        <w:rPr>
          <w:rFonts w:ascii="Garamond" w:eastAsiaTheme="minorHAnsi" w:hAnsi="Garamond" w:cs="Arial"/>
          <w:b/>
          <w:bCs/>
          <w:sz w:val="26"/>
          <w:szCs w:val="26"/>
        </w:rPr>
        <w:t xml:space="preserve"> </w:t>
      </w:r>
      <w:r w:rsidR="00772790" w:rsidRPr="007321DB">
        <w:rPr>
          <w:rFonts w:ascii="Garamond" w:eastAsiaTheme="minorHAnsi" w:hAnsi="Garamond" w:cs="Arial"/>
          <w:b/>
          <w:bCs/>
          <w:sz w:val="26"/>
          <w:szCs w:val="26"/>
        </w:rPr>
        <w:t>anno 2025</w:t>
      </w:r>
      <w:r w:rsidR="00352748" w:rsidRPr="007321DB">
        <w:rPr>
          <w:rFonts w:ascii="Garamond" w:eastAsiaTheme="minorHAnsi" w:hAnsi="Garamond" w:cs="Arial"/>
          <w:b/>
          <w:bCs/>
          <w:sz w:val="26"/>
          <w:szCs w:val="26"/>
        </w:rPr>
        <w:t xml:space="preserve"> </w:t>
      </w:r>
    </w:p>
    <w:p w14:paraId="5752868B" w14:textId="54A99EBD" w:rsidR="00723BF1" w:rsidRPr="008E2B66" w:rsidRDefault="00DE27F5" w:rsidP="001E1540">
      <w:pPr>
        <w:spacing w:after="80" w:line="276" w:lineRule="auto"/>
        <w:jc w:val="both"/>
        <w:rPr>
          <w:rFonts w:ascii="Garamond" w:eastAsiaTheme="minorHAnsi" w:hAnsi="Garamond" w:cs="Arial"/>
          <w:sz w:val="26"/>
          <w:szCs w:val="26"/>
        </w:rPr>
      </w:pPr>
      <w:r>
        <w:rPr>
          <w:rFonts w:ascii="Garamond" w:eastAsiaTheme="minorHAnsi" w:hAnsi="Garamond" w:cs="Arial"/>
          <w:sz w:val="26"/>
          <w:szCs w:val="26"/>
        </w:rPr>
        <w:t>In riferimento al</w:t>
      </w:r>
      <w:r w:rsidR="000603F3" w:rsidRPr="008E2B66">
        <w:rPr>
          <w:rFonts w:ascii="Garamond" w:eastAsiaTheme="minorHAnsi" w:hAnsi="Garamond" w:cs="Arial"/>
          <w:sz w:val="26"/>
          <w:szCs w:val="26"/>
        </w:rPr>
        <w:t xml:space="preserve">la formazione erogata </w:t>
      </w:r>
      <w:r w:rsidR="008C3EE8" w:rsidRPr="008E2B66">
        <w:rPr>
          <w:rFonts w:ascii="Garamond" w:eastAsiaTheme="minorHAnsi" w:hAnsi="Garamond" w:cs="Arial"/>
          <w:sz w:val="26"/>
          <w:szCs w:val="26"/>
        </w:rPr>
        <w:t xml:space="preserve">dal competente </w:t>
      </w:r>
      <w:r w:rsidR="000603F3" w:rsidRPr="008E2B66">
        <w:rPr>
          <w:rFonts w:ascii="Garamond" w:eastAsiaTheme="minorHAnsi" w:hAnsi="Garamond" w:cs="Arial"/>
          <w:sz w:val="26"/>
          <w:szCs w:val="26"/>
        </w:rPr>
        <w:t>Ufficio</w:t>
      </w:r>
      <w:r w:rsidR="00120820" w:rsidRPr="008E2B66">
        <w:rPr>
          <w:rFonts w:ascii="Garamond" w:eastAsiaTheme="minorHAnsi" w:hAnsi="Garamond" w:cs="Arial"/>
          <w:sz w:val="26"/>
          <w:szCs w:val="26"/>
        </w:rPr>
        <w:t xml:space="preserve"> </w:t>
      </w:r>
      <w:r w:rsidR="00120820" w:rsidRPr="00DE27F5">
        <w:rPr>
          <w:rFonts w:ascii="Garamond" w:eastAsiaTheme="minorHAnsi" w:hAnsi="Garamond" w:cs="Arial"/>
          <w:i/>
          <w:iCs/>
          <w:sz w:val="26"/>
          <w:szCs w:val="26"/>
        </w:rPr>
        <w:t>Reclutamento</w:t>
      </w:r>
      <w:r w:rsidR="008C3EE8" w:rsidRPr="00DE27F5">
        <w:rPr>
          <w:rFonts w:ascii="Garamond" w:eastAsiaTheme="minorHAnsi" w:hAnsi="Garamond" w:cs="Arial"/>
          <w:i/>
          <w:iCs/>
          <w:sz w:val="26"/>
          <w:szCs w:val="26"/>
        </w:rPr>
        <w:t>,</w:t>
      </w:r>
      <w:r w:rsidR="000603F3" w:rsidRPr="00DE27F5">
        <w:rPr>
          <w:rFonts w:ascii="Garamond" w:eastAsiaTheme="minorHAnsi" w:hAnsi="Garamond" w:cs="Arial"/>
          <w:i/>
          <w:iCs/>
          <w:sz w:val="26"/>
          <w:szCs w:val="26"/>
        </w:rPr>
        <w:t xml:space="preserve"> </w:t>
      </w:r>
      <w:r w:rsidR="00120820" w:rsidRPr="00DE27F5">
        <w:rPr>
          <w:rFonts w:ascii="Garamond" w:eastAsiaTheme="minorHAnsi" w:hAnsi="Garamond" w:cs="Arial"/>
          <w:i/>
          <w:iCs/>
          <w:sz w:val="26"/>
          <w:szCs w:val="26"/>
        </w:rPr>
        <w:t>f</w:t>
      </w:r>
      <w:r w:rsidR="000603F3" w:rsidRPr="00DE27F5">
        <w:rPr>
          <w:rFonts w:ascii="Garamond" w:eastAsiaTheme="minorHAnsi" w:hAnsi="Garamond" w:cs="Arial"/>
          <w:i/>
          <w:iCs/>
          <w:sz w:val="26"/>
          <w:szCs w:val="26"/>
        </w:rPr>
        <w:t>ormazione</w:t>
      </w:r>
      <w:r w:rsidR="00120820" w:rsidRPr="00DE27F5">
        <w:rPr>
          <w:rFonts w:ascii="Garamond" w:eastAsiaTheme="minorHAnsi" w:hAnsi="Garamond" w:cs="Arial"/>
          <w:i/>
          <w:iCs/>
          <w:sz w:val="26"/>
          <w:szCs w:val="26"/>
        </w:rPr>
        <w:t xml:space="preserve"> e relazioni sindacali-USC1</w:t>
      </w:r>
      <w:r w:rsidR="000971A3" w:rsidRPr="008E2B66">
        <w:rPr>
          <w:rFonts w:ascii="Garamond" w:eastAsiaTheme="minorHAnsi" w:hAnsi="Garamond" w:cs="Arial"/>
          <w:sz w:val="26"/>
          <w:szCs w:val="26"/>
        </w:rPr>
        <w:t xml:space="preserve"> in materia di prevenzione della corruzione</w:t>
      </w:r>
      <w:r>
        <w:rPr>
          <w:rFonts w:ascii="Garamond" w:eastAsiaTheme="minorHAnsi" w:hAnsi="Garamond" w:cs="Arial"/>
          <w:sz w:val="26"/>
          <w:szCs w:val="26"/>
        </w:rPr>
        <w:t>,</w:t>
      </w:r>
      <w:r w:rsidR="000603F3" w:rsidRPr="008E2B66">
        <w:rPr>
          <w:rFonts w:ascii="Garamond" w:eastAsiaTheme="minorHAnsi" w:hAnsi="Garamond" w:cs="Arial"/>
          <w:b/>
          <w:bCs/>
          <w:sz w:val="26"/>
          <w:szCs w:val="26"/>
        </w:rPr>
        <w:t xml:space="preserve"> </w:t>
      </w:r>
      <w:r w:rsidR="00723BF1" w:rsidRPr="008E2B66">
        <w:rPr>
          <w:rFonts w:ascii="Garamond" w:eastAsiaTheme="minorHAnsi" w:hAnsi="Garamond" w:cs="Arial"/>
          <w:sz w:val="26"/>
          <w:szCs w:val="26"/>
        </w:rPr>
        <w:t>sulla base delle indicazioni del precedente PIAO</w:t>
      </w:r>
      <w:r w:rsidR="00666DAA" w:rsidRPr="008E2B66">
        <w:rPr>
          <w:rFonts w:ascii="Garamond" w:eastAsiaTheme="minorHAnsi" w:hAnsi="Garamond" w:cs="Arial"/>
          <w:sz w:val="26"/>
          <w:szCs w:val="26"/>
        </w:rPr>
        <w:t xml:space="preserve"> 202</w:t>
      </w:r>
      <w:r w:rsidR="00023B97" w:rsidRPr="008E2B66">
        <w:rPr>
          <w:rFonts w:ascii="Garamond" w:eastAsiaTheme="minorHAnsi" w:hAnsi="Garamond" w:cs="Arial"/>
          <w:sz w:val="26"/>
          <w:szCs w:val="26"/>
        </w:rPr>
        <w:t>5-2027</w:t>
      </w:r>
      <w:r w:rsidR="0038255A" w:rsidRPr="008E2B66">
        <w:rPr>
          <w:rFonts w:ascii="Garamond" w:eastAsiaTheme="minorHAnsi" w:hAnsi="Garamond" w:cs="Arial"/>
          <w:sz w:val="26"/>
          <w:szCs w:val="26"/>
        </w:rPr>
        <w:t xml:space="preserve">, </w:t>
      </w:r>
      <w:r w:rsidR="00723BF1" w:rsidRPr="008E2B66">
        <w:rPr>
          <w:rFonts w:ascii="Garamond" w:eastAsiaTheme="minorHAnsi" w:hAnsi="Garamond" w:cs="Arial"/>
          <w:sz w:val="26"/>
          <w:szCs w:val="26"/>
        </w:rPr>
        <w:t>si evidenzia l’a</w:t>
      </w:r>
      <w:r>
        <w:rPr>
          <w:rFonts w:ascii="Garamond" w:eastAsiaTheme="minorHAnsi" w:hAnsi="Garamond" w:cs="Arial"/>
          <w:sz w:val="26"/>
          <w:szCs w:val="26"/>
        </w:rPr>
        <w:t>ttuazione</w:t>
      </w:r>
      <w:r w:rsidR="00723BF1" w:rsidRPr="008E2B66">
        <w:rPr>
          <w:rFonts w:ascii="Garamond" w:eastAsiaTheme="minorHAnsi" w:hAnsi="Garamond" w:cs="Arial"/>
          <w:sz w:val="26"/>
          <w:szCs w:val="26"/>
        </w:rPr>
        <w:t xml:space="preserve"> dei seguenti interventi formativi</w:t>
      </w:r>
      <w:r w:rsidR="005B4DB6" w:rsidRPr="008E2B66">
        <w:rPr>
          <w:rFonts w:ascii="Garamond" w:eastAsiaTheme="minorHAnsi" w:hAnsi="Garamond" w:cs="Arial"/>
          <w:sz w:val="26"/>
          <w:szCs w:val="26"/>
        </w:rPr>
        <w:t xml:space="preserve"> come </w:t>
      </w:r>
      <w:r w:rsidR="00CB78FD" w:rsidRPr="008E2B66">
        <w:rPr>
          <w:rFonts w:ascii="Garamond" w:eastAsiaTheme="minorHAnsi" w:hAnsi="Garamond" w:cs="Arial"/>
          <w:sz w:val="26"/>
          <w:szCs w:val="26"/>
        </w:rPr>
        <w:t>confermato dal predetto Ufficio</w:t>
      </w:r>
      <w:r w:rsidR="00723BF1" w:rsidRPr="008E2B66">
        <w:rPr>
          <w:rFonts w:ascii="Garamond" w:eastAsiaTheme="minorHAnsi" w:hAnsi="Garamond" w:cs="Arial"/>
          <w:sz w:val="26"/>
          <w:szCs w:val="26"/>
        </w:rPr>
        <w:t>:</w:t>
      </w:r>
    </w:p>
    <w:p w14:paraId="6EFA1FCC" w14:textId="2C13B74B" w:rsidR="002570DA" w:rsidRPr="008E2B66" w:rsidRDefault="002570DA" w:rsidP="00B8265F">
      <w:pPr>
        <w:pStyle w:val="Paragrafoelenco"/>
        <w:numPr>
          <w:ilvl w:val="0"/>
          <w:numId w:val="13"/>
        </w:numPr>
        <w:shd w:val="clear" w:color="auto" w:fill="FFFFFF"/>
        <w:spacing w:after="80" w:line="276" w:lineRule="auto"/>
        <w:textAlignment w:val="baseline"/>
        <w:rPr>
          <w:rFonts w:ascii="Garamond" w:hAnsi="Garamond" w:cs="Arial"/>
          <w:i/>
          <w:iCs/>
          <w:color w:val="000000"/>
          <w:sz w:val="26"/>
          <w:szCs w:val="26"/>
          <w:lang w:eastAsia="it-IT"/>
        </w:rPr>
      </w:pPr>
      <w:r w:rsidRPr="008E2B66">
        <w:rPr>
          <w:rFonts w:ascii="Garamond" w:hAnsi="Garamond" w:cs="Arial"/>
          <w:i/>
          <w:iCs/>
          <w:color w:val="000000"/>
          <w:sz w:val="26"/>
          <w:szCs w:val="26"/>
          <w:lang w:eastAsia="it-IT"/>
        </w:rPr>
        <w:t>Predisposizione del PIAO, sezione rischi corruttivi e trasparenza; </w:t>
      </w:r>
    </w:p>
    <w:p w14:paraId="0CA2D923" w14:textId="34D0D5B4" w:rsidR="002570DA" w:rsidRPr="008E2B66" w:rsidRDefault="002570DA" w:rsidP="00B8265F">
      <w:pPr>
        <w:pStyle w:val="Paragrafoelenco"/>
        <w:numPr>
          <w:ilvl w:val="0"/>
          <w:numId w:val="13"/>
        </w:numPr>
        <w:shd w:val="clear" w:color="auto" w:fill="FFFFFF"/>
        <w:spacing w:after="80" w:line="276" w:lineRule="auto"/>
        <w:textAlignment w:val="baseline"/>
        <w:rPr>
          <w:rFonts w:ascii="Garamond" w:hAnsi="Garamond" w:cs="Arial"/>
          <w:i/>
          <w:iCs/>
          <w:color w:val="000000"/>
          <w:sz w:val="26"/>
          <w:szCs w:val="26"/>
          <w:lang w:eastAsia="it-IT"/>
        </w:rPr>
      </w:pPr>
      <w:r w:rsidRPr="008E2B66">
        <w:rPr>
          <w:rFonts w:ascii="Garamond" w:hAnsi="Garamond" w:cs="Arial"/>
          <w:i/>
          <w:iCs/>
          <w:color w:val="000000"/>
          <w:sz w:val="26"/>
          <w:szCs w:val="26"/>
          <w:lang w:eastAsia="it-IT"/>
        </w:rPr>
        <w:t>Codici di comportamento; </w:t>
      </w:r>
    </w:p>
    <w:p w14:paraId="5E70C949" w14:textId="736ABDD8" w:rsidR="002570DA" w:rsidRPr="008E2B66" w:rsidRDefault="002570DA" w:rsidP="00B8265F">
      <w:pPr>
        <w:pStyle w:val="Paragrafoelenco"/>
        <w:numPr>
          <w:ilvl w:val="0"/>
          <w:numId w:val="13"/>
        </w:numPr>
        <w:shd w:val="clear" w:color="auto" w:fill="FFFFFF"/>
        <w:spacing w:after="80" w:line="276" w:lineRule="auto"/>
        <w:textAlignment w:val="baseline"/>
        <w:rPr>
          <w:rFonts w:ascii="Garamond" w:hAnsi="Garamond" w:cs="Arial"/>
          <w:color w:val="000000"/>
          <w:sz w:val="26"/>
          <w:szCs w:val="26"/>
          <w:lang w:eastAsia="it-IT"/>
        </w:rPr>
      </w:pPr>
      <w:r w:rsidRPr="008E2B66">
        <w:rPr>
          <w:rFonts w:ascii="Garamond" w:hAnsi="Garamond" w:cs="Arial"/>
          <w:i/>
          <w:iCs/>
          <w:color w:val="000000"/>
          <w:sz w:val="26"/>
          <w:szCs w:val="26"/>
          <w:lang w:eastAsia="it-IT"/>
        </w:rPr>
        <w:t>Accesso agli atti</w:t>
      </w:r>
      <w:r w:rsidR="00B34995" w:rsidRPr="008E2B66">
        <w:rPr>
          <w:rFonts w:ascii="Garamond" w:hAnsi="Garamond" w:cs="Arial"/>
          <w:color w:val="000000"/>
          <w:sz w:val="26"/>
          <w:szCs w:val="26"/>
          <w:lang w:eastAsia="it-IT"/>
        </w:rPr>
        <w:t>.</w:t>
      </w:r>
    </w:p>
    <w:p w14:paraId="27E6F0DA" w14:textId="21F950C2" w:rsidR="002570DA" w:rsidRPr="008E2B66" w:rsidRDefault="00E72453" w:rsidP="001E1540">
      <w:pPr>
        <w:shd w:val="clear" w:color="auto" w:fill="FFFFFF"/>
        <w:spacing w:after="80" w:line="276" w:lineRule="auto"/>
        <w:jc w:val="both"/>
        <w:textAlignment w:val="baseline"/>
        <w:rPr>
          <w:rFonts w:ascii="Garamond" w:hAnsi="Garamond" w:cs="Arial"/>
          <w:color w:val="000000"/>
          <w:sz w:val="26"/>
          <w:szCs w:val="26"/>
          <w:lang w:eastAsia="it-IT"/>
        </w:rPr>
      </w:pPr>
      <w:r w:rsidRPr="008E2B66">
        <w:rPr>
          <w:rFonts w:ascii="Garamond" w:hAnsi="Garamond" w:cs="Arial"/>
          <w:color w:val="000000"/>
          <w:sz w:val="26"/>
          <w:szCs w:val="26"/>
          <w:lang w:eastAsia="it-IT"/>
        </w:rPr>
        <w:lastRenderedPageBreak/>
        <w:t xml:space="preserve">I su citati interventi formativi sono </w:t>
      </w:r>
      <w:r w:rsidR="002570DA" w:rsidRPr="008E2B66">
        <w:rPr>
          <w:rFonts w:ascii="Garamond" w:hAnsi="Garamond" w:cs="Arial"/>
          <w:color w:val="000000"/>
          <w:sz w:val="26"/>
          <w:szCs w:val="26"/>
          <w:lang w:eastAsia="it-IT"/>
        </w:rPr>
        <w:t>ricompresi nel corso previsto sulla piattaforma Syllabus </w:t>
      </w:r>
      <w:r w:rsidR="002570DA" w:rsidRPr="008E2B66">
        <w:rPr>
          <w:rFonts w:ascii="Garamond" w:hAnsi="Garamond" w:cs="Arial"/>
          <w:i/>
          <w:iCs/>
          <w:color w:val="000000"/>
          <w:sz w:val="26"/>
          <w:szCs w:val="26"/>
          <w:lang w:eastAsia="it-IT"/>
        </w:rPr>
        <w:t>Principi e valori della PA - La strategia di prevenzione della corruzione e la trasparenza amministrativa</w:t>
      </w:r>
      <w:r w:rsidR="002570DA" w:rsidRPr="008E2B66">
        <w:rPr>
          <w:rFonts w:ascii="Garamond" w:hAnsi="Garamond" w:cs="Arial"/>
          <w:color w:val="000000"/>
          <w:sz w:val="26"/>
          <w:szCs w:val="26"/>
          <w:lang w:eastAsia="it-IT"/>
        </w:rPr>
        <w:t> da completare nel 2025 in modalità e-learning (obbligatorio per tutti i dipendenti - comunicazione email da parte di Ufficio formazione del 20 maggio 2025)</w:t>
      </w:r>
      <w:r w:rsidR="00170BF7" w:rsidRPr="008E2B66">
        <w:rPr>
          <w:rFonts w:ascii="Garamond" w:hAnsi="Garamond" w:cs="Arial"/>
          <w:color w:val="000000"/>
          <w:sz w:val="26"/>
          <w:szCs w:val="26"/>
          <w:lang w:eastAsia="it-IT"/>
        </w:rPr>
        <w:t>.</w:t>
      </w:r>
    </w:p>
    <w:p w14:paraId="1FBB2D3D" w14:textId="408E121F" w:rsidR="002570DA" w:rsidRPr="008E2B66" w:rsidRDefault="002570DA" w:rsidP="00B8265F">
      <w:pPr>
        <w:pStyle w:val="Paragrafoelenco"/>
        <w:numPr>
          <w:ilvl w:val="0"/>
          <w:numId w:val="14"/>
        </w:numPr>
        <w:shd w:val="clear" w:color="auto" w:fill="FFFFFF"/>
        <w:spacing w:after="80" w:line="276" w:lineRule="auto"/>
        <w:ind w:left="714" w:hanging="357"/>
        <w:jc w:val="both"/>
        <w:textAlignment w:val="baseline"/>
        <w:rPr>
          <w:rFonts w:ascii="Garamond" w:hAnsi="Garamond" w:cs="Arial"/>
          <w:color w:val="000000"/>
          <w:sz w:val="26"/>
          <w:szCs w:val="26"/>
          <w:lang w:eastAsia="it-IT"/>
        </w:rPr>
      </w:pPr>
      <w:r w:rsidRPr="008E2B66">
        <w:rPr>
          <w:rFonts w:ascii="Garamond" w:hAnsi="Garamond" w:cs="Arial"/>
          <w:i/>
          <w:iCs/>
          <w:color w:val="000000"/>
          <w:sz w:val="26"/>
          <w:szCs w:val="26"/>
          <w:lang w:eastAsia="it-IT"/>
        </w:rPr>
        <w:t>Anticorruzione e trasparenza nella materia degli appalti</w:t>
      </w:r>
      <w:r w:rsidR="00325A78" w:rsidRPr="008E2B66">
        <w:rPr>
          <w:rFonts w:ascii="Garamond" w:hAnsi="Garamond" w:cs="Arial"/>
          <w:color w:val="000000"/>
          <w:sz w:val="26"/>
          <w:szCs w:val="26"/>
          <w:lang w:eastAsia="it-IT"/>
        </w:rPr>
        <w:t xml:space="preserve"> - </w:t>
      </w:r>
      <w:r w:rsidRPr="008E2B66">
        <w:rPr>
          <w:rFonts w:ascii="Garamond" w:hAnsi="Garamond" w:cs="Arial"/>
          <w:color w:val="000000"/>
          <w:sz w:val="26"/>
          <w:szCs w:val="26"/>
          <w:lang w:eastAsia="it-IT"/>
        </w:rPr>
        <w:t>ricompreso nel corso “</w:t>
      </w:r>
      <w:r w:rsidRPr="008E2B66">
        <w:rPr>
          <w:rFonts w:ascii="Garamond" w:hAnsi="Garamond" w:cs="Arial"/>
          <w:i/>
          <w:iCs/>
          <w:color w:val="000000"/>
          <w:sz w:val="26"/>
          <w:szCs w:val="26"/>
          <w:lang w:eastAsia="it-IT"/>
        </w:rPr>
        <w:t>Anticorruzione e appalti nel Nuovo Codice dei Contratti Pubblici (D.lgs. 36/2023)</w:t>
      </w:r>
      <w:r w:rsidR="00DE27F5">
        <w:rPr>
          <w:rFonts w:ascii="Garamond" w:hAnsi="Garamond" w:cs="Arial"/>
          <w:i/>
          <w:iCs/>
          <w:color w:val="000000"/>
          <w:sz w:val="26"/>
          <w:szCs w:val="26"/>
          <w:lang w:eastAsia="it-IT"/>
        </w:rPr>
        <w:t xml:space="preserve"> </w:t>
      </w:r>
      <w:r w:rsidRPr="008E2B66">
        <w:rPr>
          <w:rFonts w:ascii="Garamond" w:hAnsi="Garamond" w:cs="Arial"/>
          <w:color w:val="000000"/>
          <w:sz w:val="26"/>
          <w:szCs w:val="26"/>
          <w:lang w:eastAsia="it-IT"/>
        </w:rPr>
        <w:t xml:space="preserve">da completare nel 2025, erogato dalla società Formel in modalità </w:t>
      </w:r>
      <w:r w:rsidRPr="00DE27F5">
        <w:rPr>
          <w:rFonts w:ascii="Garamond" w:hAnsi="Garamond" w:cs="Arial"/>
          <w:i/>
          <w:iCs/>
          <w:color w:val="000000"/>
          <w:sz w:val="26"/>
          <w:szCs w:val="26"/>
          <w:lang w:eastAsia="it-IT"/>
        </w:rPr>
        <w:t>e-learning</w:t>
      </w:r>
      <w:r w:rsidRPr="008E2B66">
        <w:rPr>
          <w:rFonts w:ascii="Garamond" w:hAnsi="Garamond" w:cs="Arial"/>
          <w:color w:val="000000"/>
          <w:sz w:val="26"/>
          <w:szCs w:val="26"/>
          <w:lang w:eastAsia="it-IT"/>
        </w:rPr>
        <w:t xml:space="preserve"> (obbligatorio per circa 60 dipendenti interessati all'argomento - comunicazione e</w:t>
      </w:r>
      <w:r w:rsidR="00F21B2A" w:rsidRPr="008E2B66">
        <w:rPr>
          <w:rFonts w:ascii="Garamond" w:hAnsi="Garamond" w:cs="Arial"/>
          <w:color w:val="000000"/>
          <w:sz w:val="26"/>
          <w:szCs w:val="26"/>
          <w:lang w:eastAsia="it-IT"/>
        </w:rPr>
        <w:t>-</w:t>
      </w:r>
      <w:r w:rsidRPr="008E2B66">
        <w:rPr>
          <w:rFonts w:ascii="Garamond" w:hAnsi="Garamond" w:cs="Arial"/>
          <w:color w:val="000000"/>
          <w:sz w:val="26"/>
          <w:szCs w:val="26"/>
          <w:lang w:eastAsia="it-IT"/>
        </w:rPr>
        <w:t>mail da parte di Ufficio formazione del 3 ottobre 2025). </w:t>
      </w:r>
    </w:p>
    <w:p w14:paraId="48D6795E" w14:textId="4D93AB4D" w:rsidR="0030677C" w:rsidRPr="008E2B66" w:rsidRDefault="00EA73CA" w:rsidP="001E1540">
      <w:pPr>
        <w:shd w:val="clear" w:color="auto" w:fill="FFFFFF"/>
        <w:spacing w:after="80" w:line="276" w:lineRule="auto"/>
        <w:ind w:left="357"/>
        <w:jc w:val="both"/>
        <w:textAlignment w:val="baseline"/>
        <w:rPr>
          <w:rFonts w:ascii="Garamond" w:hAnsi="Garamond" w:cs="Arial"/>
          <w:color w:val="000000"/>
          <w:sz w:val="26"/>
          <w:szCs w:val="26"/>
          <w:lang w:eastAsia="it-IT"/>
        </w:rPr>
      </w:pPr>
      <w:r w:rsidRPr="008E2B66">
        <w:rPr>
          <w:rFonts w:ascii="Garamond" w:hAnsi="Garamond" w:cs="Arial"/>
          <w:color w:val="000000"/>
          <w:sz w:val="26"/>
          <w:szCs w:val="26"/>
          <w:lang w:eastAsia="it-IT"/>
        </w:rPr>
        <w:t>Con riferimento al</w:t>
      </w:r>
      <w:r w:rsidR="00EC4BA7" w:rsidRPr="008E2B66">
        <w:rPr>
          <w:rFonts w:ascii="Garamond" w:hAnsi="Garamond" w:cs="Arial"/>
          <w:color w:val="000000"/>
          <w:sz w:val="26"/>
          <w:szCs w:val="26"/>
          <w:lang w:eastAsia="it-IT"/>
        </w:rPr>
        <w:t xml:space="preserve"> corso </w:t>
      </w:r>
      <w:r w:rsidR="00824700" w:rsidRPr="008E2B66">
        <w:rPr>
          <w:rFonts w:ascii="Garamond" w:hAnsi="Garamond" w:cs="Arial"/>
          <w:i/>
          <w:iCs/>
          <w:color w:val="000000"/>
          <w:sz w:val="26"/>
          <w:szCs w:val="26"/>
          <w:lang w:eastAsia="it-IT"/>
        </w:rPr>
        <w:t xml:space="preserve">Accrescimento delle informazioni e delle competenze in materia di progetti finanziati con fondi PNRR e con fondi strutturali </w:t>
      </w:r>
      <w:r w:rsidR="00824700" w:rsidRPr="008E2B66">
        <w:rPr>
          <w:rFonts w:ascii="Garamond" w:hAnsi="Garamond" w:cs="Arial"/>
          <w:color w:val="000000"/>
          <w:sz w:val="26"/>
          <w:szCs w:val="26"/>
          <w:lang w:eastAsia="it-IT"/>
        </w:rPr>
        <w:t>(appalti PNRR e gestione e rendicontazione dei progetti PNRR e fondi strutturali)</w:t>
      </w:r>
      <w:r w:rsidR="00857310" w:rsidRPr="008E2B66">
        <w:rPr>
          <w:rFonts w:ascii="Garamond" w:hAnsi="Garamond" w:cs="Arial"/>
          <w:color w:val="000000"/>
          <w:sz w:val="26"/>
          <w:szCs w:val="26"/>
          <w:lang w:eastAsia="it-IT"/>
        </w:rPr>
        <w:t xml:space="preserve"> </w:t>
      </w:r>
      <w:r w:rsidR="00EC4BA7" w:rsidRPr="008E2B66">
        <w:rPr>
          <w:rFonts w:ascii="Garamond" w:hAnsi="Garamond" w:cs="Arial"/>
          <w:color w:val="000000"/>
          <w:sz w:val="26"/>
          <w:szCs w:val="26"/>
          <w:lang w:eastAsia="it-IT"/>
        </w:rPr>
        <w:t xml:space="preserve">l’Ufficio </w:t>
      </w:r>
      <w:r w:rsidR="002E56A2" w:rsidRPr="00DE27F5">
        <w:rPr>
          <w:rFonts w:ascii="Garamond" w:hAnsi="Garamond" w:cs="Arial"/>
          <w:i/>
          <w:iCs/>
          <w:color w:val="000000"/>
          <w:sz w:val="26"/>
          <w:szCs w:val="26"/>
          <w:lang w:eastAsia="it-IT"/>
        </w:rPr>
        <w:t>Progetti</w:t>
      </w:r>
      <w:r w:rsidR="002E56A2" w:rsidRPr="008E2B66">
        <w:rPr>
          <w:rFonts w:ascii="Garamond" w:hAnsi="Garamond" w:cs="Arial"/>
          <w:color w:val="000000"/>
          <w:sz w:val="26"/>
          <w:szCs w:val="26"/>
          <w:lang w:eastAsia="it-IT"/>
        </w:rPr>
        <w:t xml:space="preserve"> ha comunicato che </w:t>
      </w:r>
      <w:r w:rsidR="00ED3AC9" w:rsidRPr="008E2B66">
        <w:rPr>
          <w:rFonts w:ascii="Garamond" w:hAnsi="Garamond" w:cs="Arial"/>
          <w:color w:val="000000"/>
          <w:sz w:val="26"/>
          <w:szCs w:val="26"/>
          <w:lang w:eastAsia="it-IT"/>
        </w:rPr>
        <w:t>sono stati organizzati e programmati da A</w:t>
      </w:r>
      <w:r w:rsidR="00DD10E3">
        <w:rPr>
          <w:rFonts w:ascii="Garamond" w:hAnsi="Garamond" w:cs="Arial"/>
          <w:color w:val="000000"/>
          <w:sz w:val="26"/>
          <w:szCs w:val="26"/>
          <w:lang w:eastAsia="it-IT"/>
        </w:rPr>
        <w:t>PRE</w:t>
      </w:r>
      <w:r w:rsidR="005F5907" w:rsidRPr="008E2B66">
        <w:rPr>
          <w:rFonts w:ascii="Garamond" w:hAnsi="Garamond" w:cs="Arial"/>
          <w:color w:val="000000"/>
          <w:sz w:val="26"/>
          <w:szCs w:val="26"/>
          <w:lang w:eastAsia="it-IT"/>
        </w:rPr>
        <w:t>, Agenzia per la promozione della ricerca europea</w:t>
      </w:r>
      <w:r w:rsidR="00DE27F5">
        <w:rPr>
          <w:rFonts w:ascii="Garamond" w:hAnsi="Garamond" w:cs="Arial"/>
          <w:color w:val="000000"/>
          <w:sz w:val="26"/>
          <w:szCs w:val="26"/>
          <w:lang w:eastAsia="it-IT"/>
        </w:rPr>
        <w:t xml:space="preserve"> - </w:t>
      </w:r>
      <w:r w:rsidR="005F5907" w:rsidRPr="008E2B66">
        <w:rPr>
          <w:rFonts w:ascii="Garamond" w:hAnsi="Garamond" w:cs="Arial"/>
          <w:color w:val="000000"/>
          <w:sz w:val="26"/>
          <w:szCs w:val="26"/>
          <w:lang w:eastAsia="it-IT"/>
        </w:rPr>
        <w:t>che fornisce supporto e assistenza per la partecipazione italiana ai programmi europei di ricerca</w:t>
      </w:r>
      <w:r w:rsidR="00DE27F5">
        <w:rPr>
          <w:rFonts w:ascii="Garamond" w:hAnsi="Garamond" w:cs="Arial"/>
          <w:color w:val="000000"/>
          <w:sz w:val="26"/>
          <w:szCs w:val="26"/>
          <w:lang w:eastAsia="it-IT"/>
        </w:rPr>
        <w:t xml:space="preserve"> - </w:t>
      </w:r>
      <w:r w:rsidR="005F5907" w:rsidRPr="008E2B66">
        <w:rPr>
          <w:rFonts w:ascii="Garamond" w:hAnsi="Garamond" w:cs="Arial"/>
          <w:color w:val="000000"/>
          <w:sz w:val="26"/>
          <w:szCs w:val="26"/>
          <w:lang w:eastAsia="it-IT"/>
        </w:rPr>
        <w:t xml:space="preserve">i seguenti </w:t>
      </w:r>
      <w:r w:rsidR="0030677C" w:rsidRPr="008E2B66">
        <w:rPr>
          <w:rFonts w:ascii="Garamond" w:hAnsi="Garamond" w:cs="Arial"/>
          <w:color w:val="000000"/>
          <w:sz w:val="26"/>
          <w:szCs w:val="26"/>
          <w:lang w:eastAsia="it-IT"/>
        </w:rPr>
        <w:t>interventi formativi su tematiche di particolare attualità e interesse pe</w:t>
      </w:r>
      <w:r w:rsidR="00DE27F5">
        <w:rPr>
          <w:rFonts w:ascii="Garamond" w:hAnsi="Garamond" w:cs="Arial"/>
          <w:color w:val="000000"/>
          <w:sz w:val="26"/>
          <w:szCs w:val="26"/>
          <w:lang w:eastAsia="it-IT"/>
        </w:rPr>
        <w:t>r i</w:t>
      </w:r>
      <w:r w:rsidR="0030677C" w:rsidRPr="008E2B66">
        <w:rPr>
          <w:rFonts w:ascii="Garamond" w:hAnsi="Garamond" w:cs="Arial"/>
          <w:color w:val="000000"/>
          <w:sz w:val="26"/>
          <w:szCs w:val="26"/>
          <w:lang w:eastAsia="it-IT"/>
        </w:rPr>
        <w:t xml:space="preserve"> ricercatori:</w:t>
      </w:r>
    </w:p>
    <w:p w14:paraId="0BFFF61A" w14:textId="28673AFE" w:rsidR="00A661D5" w:rsidRPr="008E2B66" w:rsidRDefault="00824700" w:rsidP="00B8265F">
      <w:pPr>
        <w:pStyle w:val="Paragrafoelenco"/>
        <w:numPr>
          <w:ilvl w:val="0"/>
          <w:numId w:val="14"/>
        </w:numPr>
        <w:shd w:val="clear" w:color="auto" w:fill="FFFFFF"/>
        <w:spacing w:after="80" w:line="276" w:lineRule="auto"/>
        <w:jc w:val="both"/>
        <w:textAlignment w:val="baseline"/>
        <w:rPr>
          <w:rFonts w:ascii="Garamond" w:hAnsi="Garamond" w:cs="Arial"/>
          <w:color w:val="000000"/>
          <w:sz w:val="26"/>
          <w:szCs w:val="26"/>
          <w:lang w:eastAsia="it-IT"/>
        </w:rPr>
      </w:pPr>
      <w:r w:rsidRPr="008E2B66">
        <w:rPr>
          <w:rFonts w:ascii="Garamond" w:hAnsi="Garamond" w:cs="Arial"/>
          <w:color w:val="000000"/>
          <w:sz w:val="26"/>
          <w:szCs w:val="26"/>
          <w:lang w:eastAsia="it-IT"/>
        </w:rPr>
        <w:t xml:space="preserve">corso </w:t>
      </w:r>
      <w:r w:rsidRPr="008E2B66">
        <w:rPr>
          <w:rFonts w:ascii="Garamond" w:hAnsi="Garamond" w:cs="Arial"/>
          <w:i/>
          <w:iCs/>
          <w:color w:val="000000"/>
          <w:sz w:val="26"/>
          <w:szCs w:val="26"/>
          <w:lang w:eastAsia="it-IT"/>
        </w:rPr>
        <w:t>Cooperazione internazionale in Horizon Europe: focus cluster 6 food, bioeconomy, natural resources, agriculture and environment e opportunità wp 202</w:t>
      </w:r>
      <w:r w:rsidRPr="008E2B66">
        <w:rPr>
          <w:rFonts w:ascii="Garamond" w:hAnsi="Garamond" w:cs="Arial"/>
          <w:color w:val="000000"/>
          <w:sz w:val="26"/>
          <w:szCs w:val="26"/>
          <w:lang w:eastAsia="it-IT"/>
        </w:rPr>
        <w:t>5, che ha riguardato la cooperazione internazionale con i Paesi terzi nel campo della ricerca e dell'Innovazione (dedicato a ricercatori e tecnologi, effettuato il 14 maggio 2025)</w:t>
      </w:r>
      <w:r w:rsidR="00A661D5" w:rsidRPr="008E2B66">
        <w:rPr>
          <w:rFonts w:ascii="Garamond" w:hAnsi="Garamond" w:cs="Arial"/>
          <w:color w:val="000000"/>
          <w:sz w:val="26"/>
          <w:szCs w:val="26"/>
          <w:lang w:eastAsia="it-IT"/>
        </w:rPr>
        <w:t>;</w:t>
      </w:r>
    </w:p>
    <w:p w14:paraId="1340C862" w14:textId="2A875EA9" w:rsidR="002570DA" w:rsidRPr="008E2B66" w:rsidRDefault="00824700" w:rsidP="00B8265F">
      <w:pPr>
        <w:pStyle w:val="Paragrafoelenco"/>
        <w:numPr>
          <w:ilvl w:val="0"/>
          <w:numId w:val="14"/>
        </w:numPr>
        <w:shd w:val="clear" w:color="auto" w:fill="FFFFFF"/>
        <w:spacing w:after="80" w:line="276" w:lineRule="auto"/>
        <w:jc w:val="both"/>
        <w:textAlignment w:val="baseline"/>
        <w:rPr>
          <w:rFonts w:ascii="Garamond" w:eastAsiaTheme="minorHAnsi" w:hAnsi="Garamond" w:cs="Arial"/>
          <w:sz w:val="26"/>
          <w:szCs w:val="26"/>
        </w:rPr>
      </w:pPr>
      <w:r w:rsidRPr="008E2B66">
        <w:rPr>
          <w:rFonts w:ascii="Garamond" w:hAnsi="Garamond" w:cs="Arial"/>
          <w:color w:val="000000"/>
          <w:sz w:val="26"/>
          <w:szCs w:val="26"/>
          <w:lang w:eastAsia="it-IT"/>
        </w:rPr>
        <w:t xml:space="preserve"> corso </w:t>
      </w:r>
      <w:r w:rsidRPr="008E2B66">
        <w:rPr>
          <w:rFonts w:ascii="Garamond" w:hAnsi="Garamond" w:cs="Arial"/>
          <w:i/>
          <w:iCs/>
          <w:color w:val="000000"/>
          <w:sz w:val="26"/>
          <w:szCs w:val="26"/>
          <w:lang w:eastAsia="it-IT"/>
        </w:rPr>
        <w:t>Open Science in Horizon Europe</w:t>
      </w:r>
      <w:r w:rsidRPr="008E2B66">
        <w:rPr>
          <w:rFonts w:ascii="Garamond" w:hAnsi="Garamond" w:cs="Arial"/>
          <w:color w:val="000000"/>
          <w:sz w:val="26"/>
          <w:szCs w:val="26"/>
          <w:lang w:eastAsia="it-IT"/>
        </w:rPr>
        <w:t xml:space="preserve"> che ha offerto una panoramica sul concetto ombrello di Open Science e su come integrare le diverse pratiche Open Science in una proposta progettuale in Horizon Europe (dedicato a ricercatori e tecnologi, effettuato il 26 settembre 2025). </w:t>
      </w:r>
    </w:p>
    <w:p w14:paraId="16AABBBF" w14:textId="54C2BBE0" w:rsidR="006E7E90" w:rsidRPr="008E2B66" w:rsidRDefault="0047520B" w:rsidP="001E1540">
      <w:pPr>
        <w:shd w:val="clear" w:color="auto" w:fill="FFFFFF"/>
        <w:spacing w:after="80" w:line="276" w:lineRule="auto"/>
        <w:jc w:val="both"/>
        <w:textAlignment w:val="baseline"/>
        <w:rPr>
          <w:rFonts w:ascii="Garamond" w:eastAsiaTheme="minorHAnsi" w:hAnsi="Garamond" w:cs="Arial"/>
          <w:sz w:val="26"/>
          <w:szCs w:val="26"/>
        </w:rPr>
      </w:pPr>
      <w:r w:rsidRPr="008E2B66">
        <w:rPr>
          <w:rFonts w:ascii="Garamond" w:eastAsiaTheme="minorHAnsi" w:hAnsi="Garamond" w:cs="Arial"/>
          <w:sz w:val="26"/>
          <w:szCs w:val="26"/>
        </w:rPr>
        <w:t xml:space="preserve">Inoltre, su richiesta dell’Ufficio </w:t>
      </w:r>
      <w:r w:rsidR="003B671B" w:rsidRPr="003B671B">
        <w:rPr>
          <w:rFonts w:ascii="Garamond" w:eastAsiaTheme="minorHAnsi" w:hAnsi="Garamond" w:cs="Arial"/>
          <w:i/>
          <w:iCs/>
          <w:sz w:val="26"/>
          <w:szCs w:val="26"/>
        </w:rPr>
        <w:t>N</w:t>
      </w:r>
      <w:r w:rsidRPr="003B671B">
        <w:rPr>
          <w:rFonts w:ascii="Garamond" w:eastAsiaTheme="minorHAnsi" w:hAnsi="Garamond" w:cs="Arial"/>
          <w:i/>
          <w:iCs/>
          <w:sz w:val="26"/>
          <w:szCs w:val="26"/>
        </w:rPr>
        <w:t>egozial</w:t>
      </w:r>
      <w:r w:rsidR="00407339" w:rsidRPr="003B671B">
        <w:rPr>
          <w:rFonts w:ascii="Garamond" w:eastAsiaTheme="minorHAnsi" w:hAnsi="Garamond" w:cs="Arial"/>
          <w:i/>
          <w:iCs/>
          <w:sz w:val="26"/>
          <w:szCs w:val="26"/>
        </w:rPr>
        <w:t>e</w:t>
      </w:r>
      <w:r w:rsidR="0019122B" w:rsidRPr="003B671B">
        <w:rPr>
          <w:rFonts w:ascii="Garamond" w:eastAsiaTheme="minorHAnsi" w:hAnsi="Garamond" w:cs="Arial"/>
          <w:i/>
          <w:iCs/>
          <w:sz w:val="26"/>
          <w:szCs w:val="26"/>
        </w:rPr>
        <w:t>,</w:t>
      </w:r>
      <w:r w:rsidR="00036259" w:rsidRPr="008E2B66">
        <w:rPr>
          <w:rFonts w:ascii="Garamond" w:eastAsiaTheme="minorHAnsi" w:hAnsi="Garamond" w:cs="Arial"/>
          <w:sz w:val="26"/>
          <w:szCs w:val="26"/>
        </w:rPr>
        <w:t xml:space="preserve"> </w:t>
      </w:r>
      <w:r w:rsidR="0019122B" w:rsidRPr="008E2B66">
        <w:rPr>
          <w:rFonts w:ascii="Garamond" w:eastAsiaTheme="minorHAnsi" w:hAnsi="Garamond" w:cs="Arial"/>
          <w:sz w:val="26"/>
          <w:szCs w:val="26"/>
        </w:rPr>
        <w:t>al fine di garantire l’aggiornamento tecnico</w:t>
      </w:r>
      <w:r w:rsidR="003B671B">
        <w:rPr>
          <w:rFonts w:ascii="Garamond" w:eastAsiaTheme="minorHAnsi" w:hAnsi="Garamond" w:cs="Arial"/>
          <w:sz w:val="26"/>
          <w:szCs w:val="26"/>
        </w:rPr>
        <w:t xml:space="preserve"> - </w:t>
      </w:r>
      <w:r w:rsidR="0019122B" w:rsidRPr="008E2B66">
        <w:rPr>
          <w:rFonts w:ascii="Garamond" w:eastAsiaTheme="minorHAnsi" w:hAnsi="Garamond" w:cs="Arial"/>
          <w:sz w:val="26"/>
          <w:szCs w:val="26"/>
        </w:rPr>
        <w:t>operativo del personale del CREA</w:t>
      </w:r>
      <w:r w:rsidR="004C312E" w:rsidRPr="008E2B66">
        <w:rPr>
          <w:rFonts w:ascii="Garamond" w:eastAsiaTheme="minorHAnsi" w:hAnsi="Garamond" w:cs="Arial"/>
          <w:sz w:val="26"/>
          <w:szCs w:val="26"/>
        </w:rPr>
        <w:t xml:space="preserve"> che ricopre l’incarico di RUP</w:t>
      </w:r>
      <w:r w:rsidR="00F567E9" w:rsidRPr="008E2B66">
        <w:rPr>
          <w:rFonts w:ascii="Garamond" w:eastAsiaTheme="minorHAnsi" w:hAnsi="Garamond" w:cs="Arial"/>
          <w:sz w:val="26"/>
          <w:szCs w:val="26"/>
        </w:rPr>
        <w:t xml:space="preserve">, al personale </w:t>
      </w:r>
      <w:r w:rsidR="0027721A" w:rsidRPr="008E2B66">
        <w:rPr>
          <w:rFonts w:ascii="Garamond" w:eastAsiaTheme="minorHAnsi" w:hAnsi="Garamond" w:cs="Arial"/>
          <w:sz w:val="26"/>
          <w:szCs w:val="26"/>
        </w:rPr>
        <w:t xml:space="preserve">dell’Ufficio </w:t>
      </w:r>
      <w:r w:rsidR="0027721A" w:rsidRPr="007A5701">
        <w:rPr>
          <w:rFonts w:ascii="Garamond" w:eastAsiaTheme="minorHAnsi" w:hAnsi="Garamond" w:cs="Arial"/>
          <w:sz w:val="26"/>
          <w:szCs w:val="26"/>
        </w:rPr>
        <w:t>Negoziale</w:t>
      </w:r>
      <w:r w:rsidR="0027721A" w:rsidRPr="008E2B66">
        <w:rPr>
          <w:rFonts w:ascii="Garamond" w:eastAsiaTheme="minorHAnsi" w:hAnsi="Garamond" w:cs="Arial"/>
          <w:sz w:val="26"/>
          <w:szCs w:val="26"/>
        </w:rPr>
        <w:t xml:space="preserve"> e ai referenti dell’attività negoziale dei Centri</w:t>
      </w:r>
      <w:r w:rsidR="00997F82" w:rsidRPr="008E2B66">
        <w:rPr>
          <w:rFonts w:ascii="Garamond" w:eastAsiaTheme="minorHAnsi" w:hAnsi="Garamond" w:cs="Arial"/>
          <w:sz w:val="26"/>
          <w:szCs w:val="26"/>
        </w:rPr>
        <w:t xml:space="preserve">, è stato </w:t>
      </w:r>
      <w:r w:rsidR="00AD4261" w:rsidRPr="008E2B66">
        <w:rPr>
          <w:rFonts w:ascii="Garamond" w:eastAsiaTheme="minorHAnsi" w:hAnsi="Garamond" w:cs="Arial"/>
          <w:sz w:val="26"/>
          <w:szCs w:val="26"/>
        </w:rPr>
        <w:t>messo a disposizione</w:t>
      </w:r>
      <w:r w:rsidR="00714024" w:rsidRPr="008E2B66">
        <w:rPr>
          <w:rFonts w:ascii="Garamond" w:eastAsiaTheme="minorHAnsi" w:hAnsi="Garamond" w:cs="Arial"/>
          <w:sz w:val="26"/>
          <w:szCs w:val="26"/>
        </w:rPr>
        <w:t>, sulla piattaforma</w:t>
      </w:r>
      <w:r w:rsidR="003D2786" w:rsidRPr="008E2B66">
        <w:rPr>
          <w:rFonts w:ascii="Garamond" w:eastAsiaTheme="minorHAnsi" w:hAnsi="Garamond" w:cs="Arial"/>
          <w:sz w:val="26"/>
          <w:szCs w:val="26"/>
        </w:rPr>
        <w:t xml:space="preserve"> e-learning</w:t>
      </w:r>
      <w:r w:rsidR="00714024" w:rsidRPr="008E2B66">
        <w:rPr>
          <w:rFonts w:ascii="Garamond" w:eastAsiaTheme="minorHAnsi" w:hAnsi="Garamond" w:cs="Arial"/>
          <w:sz w:val="26"/>
          <w:szCs w:val="26"/>
        </w:rPr>
        <w:t xml:space="preserve"> FNA</w:t>
      </w:r>
      <w:r w:rsidR="00AD4261" w:rsidRPr="008E2B66">
        <w:rPr>
          <w:rFonts w:ascii="Garamond" w:eastAsiaTheme="minorHAnsi" w:hAnsi="Garamond" w:cs="Arial"/>
          <w:sz w:val="26"/>
          <w:szCs w:val="26"/>
        </w:rPr>
        <w:t xml:space="preserve"> il Corso</w:t>
      </w:r>
      <w:r w:rsidR="003D2786" w:rsidRPr="008E2B66">
        <w:rPr>
          <w:rFonts w:ascii="Garamond" w:eastAsiaTheme="minorHAnsi" w:hAnsi="Garamond" w:cs="Arial"/>
          <w:sz w:val="26"/>
          <w:szCs w:val="26"/>
        </w:rPr>
        <w:t>, accreditato presso SNA,</w:t>
      </w:r>
      <w:r w:rsidR="00AD4261" w:rsidRPr="008E2B66">
        <w:rPr>
          <w:rFonts w:ascii="Garamond" w:eastAsiaTheme="minorHAnsi" w:hAnsi="Garamond" w:cs="Arial"/>
          <w:sz w:val="26"/>
          <w:szCs w:val="26"/>
        </w:rPr>
        <w:t xml:space="preserve"> </w:t>
      </w:r>
      <w:r w:rsidR="00AD4261" w:rsidRPr="008E2B66">
        <w:rPr>
          <w:rFonts w:ascii="Garamond" w:eastAsiaTheme="minorHAnsi" w:hAnsi="Garamond" w:cs="Arial"/>
          <w:i/>
          <w:iCs/>
          <w:sz w:val="26"/>
          <w:szCs w:val="26"/>
        </w:rPr>
        <w:t>Formazione di base utile per la qualificazione della SA</w:t>
      </w:r>
      <w:r w:rsidR="004E6772" w:rsidRPr="008E2B66">
        <w:rPr>
          <w:rFonts w:ascii="Garamond" w:eastAsiaTheme="minorHAnsi" w:hAnsi="Garamond" w:cs="Arial"/>
          <w:i/>
          <w:iCs/>
          <w:sz w:val="26"/>
          <w:szCs w:val="26"/>
        </w:rPr>
        <w:t xml:space="preserve">- nuovo Codice dei Contratti pubblici D.lgs. n. </w:t>
      </w:r>
      <w:r w:rsidR="00601B5E" w:rsidRPr="008E2B66">
        <w:rPr>
          <w:rFonts w:ascii="Garamond" w:eastAsiaTheme="minorHAnsi" w:hAnsi="Garamond" w:cs="Arial"/>
          <w:i/>
          <w:iCs/>
          <w:sz w:val="26"/>
          <w:szCs w:val="26"/>
        </w:rPr>
        <w:t xml:space="preserve">36/2023 </w:t>
      </w:r>
      <w:r w:rsidR="00714024" w:rsidRPr="008E2B66">
        <w:rPr>
          <w:rFonts w:ascii="Garamond" w:eastAsiaTheme="minorHAnsi" w:hAnsi="Garamond" w:cs="Arial"/>
          <w:i/>
          <w:iCs/>
          <w:sz w:val="26"/>
          <w:szCs w:val="26"/>
        </w:rPr>
        <w:t>aggiornato</w:t>
      </w:r>
      <w:r w:rsidR="00601B5E" w:rsidRPr="008E2B66">
        <w:rPr>
          <w:rFonts w:ascii="Garamond" w:eastAsiaTheme="minorHAnsi" w:hAnsi="Garamond" w:cs="Arial"/>
          <w:i/>
          <w:iCs/>
          <w:sz w:val="26"/>
          <w:szCs w:val="26"/>
        </w:rPr>
        <w:t xml:space="preserve"> al decreto correttivo D.lgs. n. 209/2024</w:t>
      </w:r>
      <w:r w:rsidR="00BE49BE" w:rsidRPr="008E2B66">
        <w:rPr>
          <w:rFonts w:ascii="Garamond" w:eastAsiaTheme="minorHAnsi" w:hAnsi="Garamond" w:cs="Arial"/>
          <w:sz w:val="26"/>
          <w:szCs w:val="26"/>
        </w:rPr>
        <w:t>.</w:t>
      </w:r>
    </w:p>
    <w:p w14:paraId="55966EB1" w14:textId="13A720C3" w:rsidR="00BE49BE" w:rsidRPr="008E2B66" w:rsidRDefault="002B4947" w:rsidP="001E1540">
      <w:pPr>
        <w:shd w:val="clear" w:color="auto" w:fill="FFFFFF"/>
        <w:spacing w:after="80" w:line="276" w:lineRule="auto"/>
        <w:jc w:val="both"/>
        <w:textAlignment w:val="baseline"/>
        <w:rPr>
          <w:rFonts w:ascii="Garamond" w:eastAsiaTheme="minorHAnsi" w:hAnsi="Garamond" w:cs="Arial"/>
          <w:sz w:val="26"/>
          <w:szCs w:val="26"/>
        </w:rPr>
      </w:pPr>
      <w:r>
        <w:rPr>
          <w:rFonts w:ascii="Garamond" w:eastAsiaTheme="minorHAnsi" w:hAnsi="Garamond" w:cs="Arial"/>
          <w:sz w:val="26"/>
          <w:szCs w:val="26"/>
        </w:rPr>
        <w:t>In riferimento al tema del</w:t>
      </w:r>
      <w:r w:rsidR="00901014" w:rsidRPr="008E2B66">
        <w:rPr>
          <w:rFonts w:ascii="Garamond" w:eastAsiaTheme="minorHAnsi" w:hAnsi="Garamond" w:cs="Arial"/>
          <w:sz w:val="26"/>
          <w:szCs w:val="26"/>
        </w:rPr>
        <w:t xml:space="preserve">la qualificazione </w:t>
      </w:r>
      <w:r>
        <w:rPr>
          <w:rFonts w:ascii="Garamond" w:eastAsiaTheme="minorHAnsi" w:hAnsi="Garamond" w:cs="Arial"/>
          <w:sz w:val="26"/>
          <w:szCs w:val="26"/>
        </w:rPr>
        <w:t xml:space="preserve">delle SS.AA., </w:t>
      </w:r>
      <w:r w:rsidR="00901014" w:rsidRPr="008E2B66">
        <w:rPr>
          <w:rFonts w:ascii="Garamond" w:eastAsiaTheme="minorHAnsi" w:hAnsi="Garamond" w:cs="Arial"/>
          <w:sz w:val="26"/>
          <w:szCs w:val="26"/>
        </w:rPr>
        <w:t xml:space="preserve">anche sulla piattaforma Syllabus </w:t>
      </w:r>
      <w:r w:rsidR="0087627E" w:rsidRPr="008E2B66">
        <w:rPr>
          <w:rFonts w:ascii="Garamond" w:eastAsiaTheme="minorHAnsi" w:hAnsi="Garamond" w:cs="Arial"/>
          <w:sz w:val="26"/>
          <w:szCs w:val="26"/>
        </w:rPr>
        <w:t>è disponibile un</w:t>
      </w:r>
      <w:r w:rsidR="00AF046B" w:rsidRPr="008E2B66">
        <w:rPr>
          <w:rFonts w:ascii="Garamond" w:eastAsiaTheme="minorHAnsi" w:hAnsi="Garamond" w:cs="Arial"/>
          <w:sz w:val="26"/>
          <w:szCs w:val="26"/>
        </w:rPr>
        <w:t xml:space="preserve"> corso </w:t>
      </w:r>
      <w:r>
        <w:rPr>
          <w:rFonts w:ascii="Garamond" w:eastAsiaTheme="minorHAnsi" w:hAnsi="Garamond" w:cs="Arial"/>
          <w:sz w:val="26"/>
          <w:szCs w:val="26"/>
        </w:rPr>
        <w:t xml:space="preserve">specifico: </w:t>
      </w:r>
      <w:r w:rsidR="00AF046B" w:rsidRPr="008E2B66">
        <w:rPr>
          <w:rFonts w:ascii="Garamond" w:eastAsiaTheme="minorHAnsi" w:hAnsi="Garamond" w:cs="Arial"/>
          <w:i/>
          <w:iCs/>
          <w:sz w:val="26"/>
          <w:szCs w:val="26"/>
        </w:rPr>
        <w:t>Il nuovo codice dei contratti pubblici d.lgs. n. 36/2026</w:t>
      </w:r>
      <w:r>
        <w:rPr>
          <w:rFonts w:ascii="Garamond" w:eastAsiaTheme="minorHAnsi" w:hAnsi="Garamond" w:cs="Arial"/>
          <w:i/>
          <w:iCs/>
          <w:sz w:val="26"/>
          <w:szCs w:val="26"/>
        </w:rPr>
        <w:t xml:space="preserve"> - </w:t>
      </w:r>
      <w:r w:rsidR="00AF046B" w:rsidRPr="008E2B66">
        <w:rPr>
          <w:rFonts w:ascii="Garamond" w:eastAsiaTheme="minorHAnsi" w:hAnsi="Garamond" w:cs="Arial"/>
          <w:i/>
          <w:iCs/>
          <w:sz w:val="26"/>
          <w:szCs w:val="26"/>
        </w:rPr>
        <w:t xml:space="preserve">corso di formazione </w:t>
      </w:r>
      <w:r w:rsidR="00C31697" w:rsidRPr="008E2B66">
        <w:rPr>
          <w:rFonts w:ascii="Garamond" w:eastAsiaTheme="minorHAnsi" w:hAnsi="Garamond" w:cs="Arial"/>
          <w:i/>
          <w:iCs/>
          <w:sz w:val="26"/>
          <w:szCs w:val="26"/>
        </w:rPr>
        <w:t>base utile per la qualificazione delle stazioni appaltanti</w:t>
      </w:r>
      <w:r w:rsidR="00C31697" w:rsidRPr="008E2B66">
        <w:rPr>
          <w:rFonts w:ascii="Garamond" w:eastAsiaTheme="minorHAnsi" w:hAnsi="Garamond" w:cs="Arial"/>
          <w:sz w:val="26"/>
          <w:szCs w:val="26"/>
        </w:rPr>
        <w:t>.</w:t>
      </w:r>
    </w:p>
    <w:p w14:paraId="23FA13EC" w14:textId="534D9F69" w:rsidR="00835BDD" w:rsidRPr="008E2B66" w:rsidRDefault="00835BDD" w:rsidP="00CF7353">
      <w:pPr>
        <w:spacing w:afterLines="160" w:after="384" w:line="276" w:lineRule="auto"/>
        <w:jc w:val="both"/>
        <w:rPr>
          <w:rFonts w:ascii="Garamond" w:eastAsia="Aptos" w:hAnsi="Garamond" w:cs="Arial"/>
          <w:kern w:val="2"/>
          <w:sz w:val="26"/>
          <w:szCs w:val="26"/>
          <w14:ligatures w14:val="standardContextual"/>
        </w:rPr>
      </w:pPr>
      <w:r w:rsidRPr="007A5701">
        <w:rPr>
          <w:rFonts w:ascii="Garamond" w:eastAsia="Aptos" w:hAnsi="Garamond" w:cs="Arial"/>
          <w:kern w:val="2"/>
          <w:sz w:val="26"/>
          <w:szCs w:val="26"/>
          <w14:ligatures w14:val="standardContextual"/>
        </w:rPr>
        <w:t>Tenuto conto d</w:t>
      </w:r>
      <w:r w:rsidR="002B4947" w:rsidRPr="007A5701">
        <w:rPr>
          <w:rFonts w:ascii="Garamond" w:eastAsia="Aptos" w:hAnsi="Garamond" w:cs="Arial"/>
          <w:kern w:val="2"/>
          <w:sz w:val="26"/>
          <w:szCs w:val="26"/>
          <w14:ligatures w14:val="standardContextual"/>
        </w:rPr>
        <w:t xml:space="preserve">ella </w:t>
      </w:r>
      <w:r w:rsidRPr="007A5701">
        <w:rPr>
          <w:rFonts w:ascii="Garamond" w:eastAsia="Aptos" w:hAnsi="Garamond" w:cs="Arial"/>
          <w:kern w:val="2"/>
          <w:sz w:val="26"/>
          <w:szCs w:val="26"/>
          <w14:ligatures w14:val="standardContextual"/>
        </w:rPr>
        <w:t>formazione</w:t>
      </w:r>
      <w:r w:rsidR="00861A48" w:rsidRPr="007A5701">
        <w:rPr>
          <w:rFonts w:ascii="Garamond" w:eastAsia="Aptos" w:hAnsi="Garamond" w:cs="Arial"/>
          <w:kern w:val="2"/>
          <w:sz w:val="26"/>
          <w:szCs w:val="26"/>
          <w14:ligatures w14:val="standardContextual"/>
        </w:rPr>
        <w:t xml:space="preserve"> di livello generale </w:t>
      </w:r>
      <w:r w:rsidR="002B4947" w:rsidRPr="007A5701">
        <w:rPr>
          <w:rFonts w:ascii="Garamond" w:eastAsia="Aptos" w:hAnsi="Garamond" w:cs="Arial"/>
          <w:kern w:val="2"/>
          <w:sz w:val="26"/>
          <w:szCs w:val="26"/>
          <w14:ligatures w14:val="standardContextual"/>
        </w:rPr>
        <w:t xml:space="preserve">già svolta </w:t>
      </w:r>
      <w:r w:rsidR="00861A48" w:rsidRPr="007A5701">
        <w:rPr>
          <w:rFonts w:ascii="Garamond" w:eastAsia="Aptos" w:hAnsi="Garamond" w:cs="Arial"/>
          <w:kern w:val="2"/>
          <w:sz w:val="26"/>
          <w:szCs w:val="26"/>
          <w14:ligatures w14:val="standardContextual"/>
        </w:rPr>
        <w:t>nel 2025</w:t>
      </w:r>
      <w:r w:rsidR="002B4947" w:rsidRPr="007A5701">
        <w:rPr>
          <w:rFonts w:ascii="Garamond" w:eastAsia="Aptos" w:hAnsi="Garamond" w:cs="Arial"/>
          <w:kern w:val="2"/>
          <w:sz w:val="26"/>
          <w:szCs w:val="26"/>
          <w14:ligatures w14:val="standardContextual"/>
        </w:rPr>
        <w:t xml:space="preserve"> e </w:t>
      </w:r>
      <w:r w:rsidRPr="007A5701">
        <w:rPr>
          <w:rFonts w:ascii="Garamond" w:eastAsia="Aptos" w:hAnsi="Garamond" w:cs="Arial"/>
          <w:kern w:val="2"/>
          <w:sz w:val="26"/>
          <w:szCs w:val="26"/>
          <w14:ligatures w14:val="standardContextual"/>
        </w:rPr>
        <w:t xml:space="preserve">di quanto sopra </w:t>
      </w:r>
      <w:r w:rsidR="002B4947" w:rsidRPr="007A5701">
        <w:rPr>
          <w:rFonts w:ascii="Garamond" w:eastAsia="Aptos" w:hAnsi="Garamond" w:cs="Arial"/>
          <w:kern w:val="2"/>
          <w:sz w:val="26"/>
          <w:szCs w:val="26"/>
          <w14:ligatures w14:val="standardContextual"/>
        </w:rPr>
        <w:t>specificato</w:t>
      </w:r>
      <w:r w:rsidR="000603F3" w:rsidRPr="007A5701">
        <w:rPr>
          <w:rFonts w:ascii="Garamond" w:eastAsia="Aptos" w:hAnsi="Garamond" w:cs="Arial"/>
          <w:kern w:val="2"/>
          <w:sz w:val="26"/>
          <w:szCs w:val="26"/>
          <w14:ligatures w14:val="standardContextual"/>
        </w:rPr>
        <w:t xml:space="preserve">, </w:t>
      </w:r>
      <w:r w:rsidR="002B4947" w:rsidRPr="007A5701">
        <w:rPr>
          <w:rFonts w:ascii="Garamond" w:eastAsia="Aptos" w:hAnsi="Garamond" w:cs="Arial"/>
          <w:kern w:val="2"/>
          <w:sz w:val="26"/>
          <w:szCs w:val="26"/>
          <w14:ligatures w14:val="standardContextual"/>
        </w:rPr>
        <w:t xml:space="preserve">nonché di </w:t>
      </w:r>
      <w:r w:rsidRPr="007A5701">
        <w:rPr>
          <w:rFonts w:ascii="Garamond" w:eastAsia="Aptos" w:hAnsi="Garamond" w:cs="Arial"/>
          <w:kern w:val="2"/>
          <w:sz w:val="26"/>
          <w:szCs w:val="26"/>
          <w14:ligatures w14:val="standardContextual"/>
        </w:rPr>
        <w:t xml:space="preserve">quanto affermato </w:t>
      </w:r>
      <w:r w:rsidRPr="007A5701">
        <w:rPr>
          <w:rFonts w:ascii="Garamond" w:eastAsiaTheme="minorHAnsi" w:hAnsi="Garamond" w:cs="Arial"/>
          <w:sz w:val="26"/>
          <w:szCs w:val="26"/>
        </w:rPr>
        <w:t xml:space="preserve">dal Consiglio di Stato, nel parere sullo schema di </w:t>
      </w:r>
      <w:r w:rsidR="006F3975" w:rsidRPr="007A5701">
        <w:rPr>
          <w:rFonts w:ascii="Garamond" w:eastAsiaTheme="minorHAnsi" w:hAnsi="Garamond" w:cs="Arial"/>
          <w:sz w:val="26"/>
          <w:szCs w:val="26"/>
        </w:rPr>
        <w:t xml:space="preserve">DPR </w:t>
      </w:r>
      <w:r w:rsidRPr="007A5701">
        <w:rPr>
          <w:rFonts w:ascii="Garamond" w:eastAsiaTheme="minorHAnsi" w:hAnsi="Garamond" w:cs="Arial"/>
          <w:sz w:val="26"/>
          <w:szCs w:val="26"/>
        </w:rPr>
        <w:t>relativo al PIAO</w:t>
      </w:r>
      <w:r w:rsidR="003B671B" w:rsidRPr="007A5701">
        <w:rPr>
          <w:rFonts w:ascii="Garamond" w:eastAsiaTheme="minorHAnsi" w:hAnsi="Garamond" w:cs="Arial"/>
          <w:sz w:val="26"/>
          <w:szCs w:val="26"/>
        </w:rPr>
        <w:t xml:space="preserve"> - </w:t>
      </w:r>
      <w:r w:rsidRPr="007A5701">
        <w:rPr>
          <w:rFonts w:ascii="Garamond" w:eastAsiaTheme="minorHAnsi" w:hAnsi="Garamond" w:cs="Arial"/>
          <w:sz w:val="26"/>
          <w:szCs w:val="26"/>
        </w:rPr>
        <w:t xml:space="preserve">ossia </w:t>
      </w:r>
      <w:r w:rsidRPr="007A5701">
        <w:rPr>
          <w:rFonts w:ascii="Garamond" w:eastAsiaTheme="minorHAnsi" w:hAnsi="Garamond" w:cs="Arial"/>
          <w:i/>
          <w:iCs/>
          <w:sz w:val="26"/>
          <w:szCs w:val="26"/>
        </w:rPr>
        <w:t>che il processo di integrazione dei piani confluiti nel PIAO debba avvenire in modo progressivo e graduale anche attraverso strumenti di tipo non normativo come il monitoraggio e la formazione</w:t>
      </w:r>
      <w:r w:rsidR="003B671B" w:rsidRPr="007A5701">
        <w:rPr>
          <w:rFonts w:ascii="Garamond" w:eastAsia="Aptos" w:hAnsi="Garamond" w:cs="Arial"/>
          <w:kern w:val="2"/>
          <w:sz w:val="26"/>
          <w:szCs w:val="26"/>
          <w14:ligatures w14:val="standardContextual"/>
        </w:rPr>
        <w:t xml:space="preserve"> - </w:t>
      </w:r>
      <w:r w:rsidRPr="007A5701">
        <w:rPr>
          <w:rFonts w:ascii="Garamond" w:eastAsia="Aptos" w:hAnsi="Garamond" w:cs="Arial"/>
          <w:kern w:val="2"/>
          <w:sz w:val="26"/>
          <w:szCs w:val="26"/>
          <w14:ligatures w14:val="standardContextual"/>
        </w:rPr>
        <w:t>si ritiene</w:t>
      </w:r>
      <w:r w:rsidRPr="007A5701">
        <w:rPr>
          <w:rFonts w:ascii="Garamond" w:eastAsiaTheme="minorHAnsi" w:hAnsi="Garamond" w:cs="Arial"/>
          <w:sz w:val="26"/>
          <w:szCs w:val="26"/>
        </w:rPr>
        <w:t xml:space="preserve">, per l’anno </w:t>
      </w:r>
      <w:r w:rsidR="00772790" w:rsidRPr="007A5701">
        <w:rPr>
          <w:rFonts w:ascii="Garamond" w:eastAsiaTheme="minorHAnsi" w:hAnsi="Garamond" w:cs="Arial"/>
          <w:sz w:val="26"/>
          <w:szCs w:val="26"/>
        </w:rPr>
        <w:t>202</w:t>
      </w:r>
      <w:r w:rsidR="006E7E90" w:rsidRPr="007A5701">
        <w:rPr>
          <w:rFonts w:ascii="Garamond" w:eastAsiaTheme="minorHAnsi" w:hAnsi="Garamond" w:cs="Arial"/>
          <w:sz w:val="26"/>
          <w:szCs w:val="26"/>
        </w:rPr>
        <w:t>6</w:t>
      </w:r>
      <w:r w:rsidR="00772790" w:rsidRPr="007A5701">
        <w:rPr>
          <w:rFonts w:ascii="Garamond" w:eastAsiaTheme="minorHAnsi" w:hAnsi="Garamond" w:cs="Arial"/>
          <w:sz w:val="26"/>
          <w:szCs w:val="26"/>
        </w:rPr>
        <w:t>, di</w:t>
      </w:r>
      <w:r w:rsidRPr="007A5701">
        <w:rPr>
          <w:rFonts w:ascii="Garamond" w:eastAsiaTheme="minorHAnsi" w:hAnsi="Garamond" w:cs="Arial"/>
          <w:sz w:val="26"/>
          <w:szCs w:val="26"/>
        </w:rPr>
        <w:t xml:space="preserve"> programmare interventi formativi</w:t>
      </w:r>
      <w:r w:rsidR="000603F3" w:rsidRPr="007A5701">
        <w:rPr>
          <w:rFonts w:ascii="Garamond" w:eastAsiaTheme="minorHAnsi" w:hAnsi="Garamond" w:cs="Arial"/>
          <w:sz w:val="26"/>
          <w:szCs w:val="26"/>
        </w:rPr>
        <w:t xml:space="preserve"> sulle seguenti materie</w:t>
      </w:r>
      <w:r w:rsidRPr="007A5701">
        <w:rPr>
          <w:rFonts w:ascii="Garamond" w:eastAsia="Aptos" w:hAnsi="Garamond" w:cs="Arial"/>
          <w:kern w:val="2"/>
          <w:sz w:val="26"/>
          <w:szCs w:val="26"/>
          <w14:ligatures w14:val="standardContextual"/>
        </w:rPr>
        <w:t>:</w:t>
      </w:r>
    </w:p>
    <w:p w14:paraId="130FD151" w14:textId="4C76B852" w:rsidR="00861A48" w:rsidRPr="007A5701" w:rsidRDefault="00861A48" w:rsidP="00CF7353">
      <w:pPr>
        <w:pStyle w:val="Paragrafoelenco"/>
        <w:numPr>
          <w:ilvl w:val="0"/>
          <w:numId w:val="15"/>
        </w:numPr>
        <w:spacing w:afterLines="160" w:after="384" w:line="276" w:lineRule="auto"/>
        <w:jc w:val="both"/>
        <w:rPr>
          <w:rFonts w:ascii="Garamond" w:eastAsia="Aptos" w:hAnsi="Garamond" w:cs="Arial"/>
          <w:kern w:val="2"/>
          <w:sz w:val="26"/>
          <w:szCs w:val="26"/>
          <w14:ligatures w14:val="standardContextual"/>
        </w:rPr>
      </w:pPr>
      <w:r w:rsidRPr="007A5701">
        <w:rPr>
          <w:rFonts w:ascii="Garamond" w:eastAsia="Aptos" w:hAnsi="Garamond" w:cs="Arial"/>
          <w:kern w:val="2"/>
          <w:sz w:val="26"/>
          <w:szCs w:val="26"/>
          <w14:ligatures w14:val="standardContextual"/>
        </w:rPr>
        <w:t xml:space="preserve">Approfondimenti tematici in materia di trasparenza e anticorruzione rivolti a RPCT, </w:t>
      </w:r>
      <w:r w:rsidR="002B4947" w:rsidRPr="007A5701">
        <w:rPr>
          <w:rFonts w:ascii="Garamond" w:eastAsia="Aptos" w:hAnsi="Garamond" w:cs="Arial"/>
          <w:kern w:val="2"/>
          <w:sz w:val="26"/>
          <w:szCs w:val="26"/>
          <w14:ligatures w14:val="standardContextual"/>
        </w:rPr>
        <w:t xml:space="preserve">ai </w:t>
      </w:r>
      <w:r w:rsidR="003B671B" w:rsidRPr="007A5701">
        <w:rPr>
          <w:rFonts w:ascii="Garamond" w:eastAsia="Aptos" w:hAnsi="Garamond" w:cs="Arial"/>
          <w:kern w:val="2"/>
          <w:sz w:val="26"/>
          <w:szCs w:val="26"/>
          <w14:ligatures w14:val="standardContextual"/>
        </w:rPr>
        <w:t>D</w:t>
      </w:r>
      <w:r w:rsidRPr="007A5701">
        <w:rPr>
          <w:rFonts w:ascii="Garamond" w:eastAsia="Aptos" w:hAnsi="Garamond" w:cs="Arial"/>
          <w:kern w:val="2"/>
          <w:sz w:val="26"/>
          <w:szCs w:val="26"/>
          <w14:ligatures w14:val="standardContextual"/>
        </w:rPr>
        <w:t xml:space="preserve">irigenti generali, </w:t>
      </w:r>
      <w:r w:rsidR="002B4947" w:rsidRPr="007A5701">
        <w:rPr>
          <w:rFonts w:ascii="Garamond" w:eastAsia="Aptos" w:hAnsi="Garamond" w:cs="Arial"/>
          <w:kern w:val="2"/>
          <w:sz w:val="26"/>
          <w:szCs w:val="26"/>
          <w14:ligatures w14:val="standardContextual"/>
        </w:rPr>
        <w:t xml:space="preserve">ai </w:t>
      </w:r>
      <w:r w:rsidR="003B671B" w:rsidRPr="007A5701">
        <w:rPr>
          <w:rFonts w:ascii="Garamond" w:eastAsia="Aptos" w:hAnsi="Garamond" w:cs="Arial"/>
          <w:kern w:val="2"/>
          <w:sz w:val="26"/>
          <w:szCs w:val="26"/>
          <w14:ligatures w14:val="standardContextual"/>
        </w:rPr>
        <w:t>D</w:t>
      </w:r>
      <w:r w:rsidRPr="007A5701">
        <w:rPr>
          <w:rFonts w:ascii="Garamond" w:eastAsia="Aptos" w:hAnsi="Garamond" w:cs="Arial"/>
          <w:kern w:val="2"/>
          <w:sz w:val="26"/>
          <w:szCs w:val="26"/>
          <w14:ligatures w14:val="standardContextual"/>
        </w:rPr>
        <w:t xml:space="preserve">irigenti </w:t>
      </w:r>
      <w:r w:rsidR="003B671B" w:rsidRPr="007A5701">
        <w:rPr>
          <w:rFonts w:ascii="Garamond" w:eastAsia="Aptos" w:hAnsi="Garamond" w:cs="Arial"/>
          <w:kern w:val="2"/>
          <w:sz w:val="26"/>
          <w:szCs w:val="26"/>
          <w14:ligatures w14:val="standardContextual"/>
        </w:rPr>
        <w:t>dell’</w:t>
      </w:r>
      <w:r w:rsidRPr="007A5701">
        <w:rPr>
          <w:rFonts w:ascii="Garamond" w:eastAsia="Aptos" w:hAnsi="Garamond" w:cs="Arial"/>
          <w:kern w:val="2"/>
          <w:sz w:val="26"/>
          <w:szCs w:val="26"/>
          <w14:ligatures w14:val="standardContextual"/>
        </w:rPr>
        <w:t>A</w:t>
      </w:r>
      <w:r w:rsidR="003B671B" w:rsidRPr="007A5701">
        <w:rPr>
          <w:rFonts w:ascii="Garamond" w:eastAsia="Aptos" w:hAnsi="Garamond" w:cs="Arial"/>
          <w:kern w:val="2"/>
          <w:sz w:val="26"/>
          <w:szCs w:val="26"/>
          <w14:ligatures w14:val="standardContextual"/>
        </w:rPr>
        <w:t xml:space="preserve">mministrazione </w:t>
      </w:r>
      <w:r w:rsidRPr="007A5701">
        <w:rPr>
          <w:rFonts w:ascii="Garamond" w:eastAsia="Aptos" w:hAnsi="Garamond" w:cs="Arial"/>
          <w:kern w:val="2"/>
          <w:sz w:val="26"/>
          <w:szCs w:val="26"/>
          <w14:ligatures w14:val="standardContextual"/>
        </w:rPr>
        <w:t>C</w:t>
      </w:r>
      <w:r w:rsidR="003B671B" w:rsidRPr="007A5701">
        <w:rPr>
          <w:rFonts w:ascii="Garamond" w:eastAsia="Aptos" w:hAnsi="Garamond" w:cs="Arial"/>
          <w:kern w:val="2"/>
          <w:sz w:val="26"/>
          <w:szCs w:val="26"/>
          <w14:ligatures w14:val="standardContextual"/>
        </w:rPr>
        <w:t>entrale</w:t>
      </w:r>
      <w:r w:rsidRPr="007A5701">
        <w:rPr>
          <w:rFonts w:ascii="Garamond" w:eastAsia="Aptos" w:hAnsi="Garamond" w:cs="Arial"/>
          <w:kern w:val="2"/>
          <w:sz w:val="26"/>
          <w:szCs w:val="26"/>
          <w14:ligatures w14:val="standardContextual"/>
        </w:rPr>
        <w:t xml:space="preserve"> e </w:t>
      </w:r>
      <w:r w:rsidR="002B4947" w:rsidRPr="007A5701">
        <w:rPr>
          <w:rFonts w:ascii="Garamond" w:eastAsia="Aptos" w:hAnsi="Garamond" w:cs="Arial"/>
          <w:kern w:val="2"/>
          <w:sz w:val="26"/>
          <w:szCs w:val="26"/>
          <w14:ligatures w14:val="standardContextual"/>
        </w:rPr>
        <w:t xml:space="preserve">ai </w:t>
      </w:r>
      <w:r w:rsidR="003B671B" w:rsidRPr="007A5701">
        <w:rPr>
          <w:rFonts w:ascii="Garamond" w:eastAsia="Aptos" w:hAnsi="Garamond" w:cs="Arial"/>
          <w:kern w:val="2"/>
          <w:sz w:val="26"/>
          <w:szCs w:val="26"/>
          <w14:ligatures w14:val="standardContextual"/>
        </w:rPr>
        <w:t>D</w:t>
      </w:r>
      <w:r w:rsidRPr="007A5701">
        <w:rPr>
          <w:rFonts w:ascii="Garamond" w:eastAsia="Aptos" w:hAnsi="Garamond" w:cs="Arial"/>
          <w:kern w:val="2"/>
          <w:sz w:val="26"/>
          <w:szCs w:val="26"/>
          <w14:ligatures w14:val="standardContextual"/>
        </w:rPr>
        <w:t>irettori</w:t>
      </w:r>
      <w:r w:rsidR="003B671B" w:rsidRPr="007A5701">
        <w:rPr>
          <w:rFonts w:ascii="Garamond" w:eastAsia="Aptos" w:hAnsi="Garamond" w:cs="Arial"/>
          <w:kern w:val="2"/>
          <w:sz w:val="26"/>
          <w:szCs w:val="26"/>
          <w14:ligatures w14:val="standardContextual"/>
        </w:rPr>
        <w:t xml:space="preserve"> dei Centri di ricerca</w:t>
      </w:r>
      <w:r w:rsidR="00C01A16" w:rsidRPr="007A5701">
        <w:rPr>
          <w:rFonts w:ascii="Garamond" w:eastAsia="Aptos" w:hAnsi="Garamond" w:cs="Arial"/>
          <w:kern w:val="2"/>
          <w:sz w:val="26"/>
          <w:szCs w:val="26"/>
          <w14:ligatures w14:val="standardContextual"/>
        </w:rPr>
        <w:t>;</w:t>
      </w:r>
    </w:p>
    <w:p w14:paraId="1C173F91" w14:textId="6C37812C" w:rsidR="00E80569" w:rsidRPr="007A5701" w:rsidRDefault="00E80569" w:rsidP="00B8265F">
      <w:pPr>
        <w:pStyle w:val="Paragrafoelenco"/>
        <w:numPr>
          <w:ilvl w:val="0"/>
          <w:numId w:val="15"/>
        </w:numPr>
        <w:spacing w:afterLines="160" w:after="384" w:line="276" w:lineRule="auto"/>
        <w:jc w:val="both"/>
        <w:rPr>
          <w:rFonts w:ascii="Garamond" w:eastAsia="Aptos" w:hAnsi="Garamond" w:cs="Arial"/>
          <w:kern w:val="2"/>
          <w:sz w:val="26"/>
          <w:szCs w:val="26"/>
          <w14:ligatures w14:val="standardContextual"/>
        </w:rPr>
      </w:pPr>
      <w:r w:rsidRPr="007A5701">
        <w:rPr>
          <w:rFonts w:ascii="Garamond" w:eastAsia="Aptos" w:hAnsi="Garamond" w:cs="Arial"/>
          <w:kern w:val="2"/>
          <w:sz w:val="26"/>
          <w:szCs w:val="26"/>
          <w14:ligatures w14:val="standardContextual"/>
        </w:rPr>
        <w:t xml:space="preserve">Utilizzo </w:t>
      </w:r>
      <w:r w:rsidR="00B63033" w:rsidRPr="007A5701">
        <w:rPr>
          <w:rFonts w:ascii="Garamond" w:eastAsia="Aptos" w:hAnsi="Garamond" w:cs="Arial"/>
          <w:kern w:val="2"/>
          <w:sz w:val="26"/>
          <w:szCs w:val="26"/>
          <w14:ligatures w14:val="standardContextual"/>
        </w:rPr>
        <w:t xml:space="preserve">delle </w:t>
      </w:r>
      <w:r w:rsidRPr="007A5701">
        <w:rPr>
          <w:rFonts w:ascii="Garamond" w:eastAsia="Aptos" w:hAnsi="Garamond" w:cs="Arial"/>
          <w:kern w:val="2"/>
          <w:sz w:val="26"/>
          <w:szCs w:val="26"/>
          <w14:ligatures w14:val="standardContextual"/>
        </w:rPr>
        <w:t>PAD</w:t>
      </w:r>
      <w:r w:rsidR="00861A48" w:rsidRPr="007A5701">
        <w:rPr>
          <w:rFonts w:ascii="Garamond" w:eastAsia="Aptos" w:hAnsi="Garamond" w:cs="Arial"/>
          <w:kern w:val="2"/>
          <w:sz w:val="26"/>
          <w:szCs w:val="26"/>
          <w14:ligatures w14:val="standardContextual"/>
        </w:rPr>
        <w:t xml:space="preserve"> nella gestione delle procedure </w:t>
      </w:r>
      <w:r w:rsidR="008F0B9F" w:rsidRPr="007A5701">
        <w:rPr>
          <w:rFonts w:ascii="Garamond" w:eastAsia="Aptos" w:hAnsi="Garamond" w:cs="Arial"/>
          <w:kern w:val="2"/>
          <w:sz w:val="26"/>
          <w:szCs w:val="26"/>
          <w14:ligatures w14:val="standardContextual"/>
        </w:rPr>
        <w:t>di acquisto di beni, servizi e lavori;</w:t>
      </w:r>
    </w:p>
    <w:p w14:paraId="08889304" w14:textId="1541F412" w:rsidR="006E7E90" w:rsidRPr="007A5701" w:rsidRDefault="00861A48" w:rsidP="00B8265F">
      <w:pPr>
        <w:pStyle w:val="Paragrafoelenco"/>
        <w:numPr>
          <w:ilvl w:val="0"/>
          <w:numId w:val="15"/>
        </w:numPr>
        <w:spacing w:afterLines="160" w:after="384" w:line="276" w:lineRule="auto"/>
        <w:jc w:val="both"/>
        <w:rPr>
          <w:rFonts w:ascii="Garamond" w:eastAsia="Aptos" w:hAnsi="Garamond" w:cs="Arial"/>
          <w:kern w:val="2"/>
          <w:sz w:val="26"/>
          <w:szCs w:val="26"/>
          <w14:ligatures w14:val="standardContextual"/>
        </w:rPr>
      </w:pPr>
      <w:r w:rsidRPr="007A5701">
        <w:rPr>
          <w:rFonts w:ascii="Garamond" w:eastAsia="Aptos" w:hAnsi="Garamond" w:cs="Arial"/>
          <w:kern w:val="2"/>
          <w:sz w:val="26"/>
          <w:szCs w:val="26"/>
          <w14:ligatures w14:val="standardContextual"/>
        </w:rPr>
        <w:lastRenderedPageBreak/>
        <w:t>Formazione continua</w:t>
      </w:r>
      <w:r w:rsidR="002B4947" w:rsidRPr="007A5701">
        <w:rPr>
          <w:rFonts w:ascii="Garamond" w:eastAsia="Aptos" w:hAnsi="Garamond" w:cs="Arial"/>
          <w:kern w:val="2"/>
          <w:sz w:val="26"/>
          <w:szCs w:val="26"/>
          <w14:ligatures w14:val="standardContextual"/>
        </w:rPr>
        <w:t>tiva</w:t>
      </w:r>
      <w:r w:rsidRPr="007A5701">
        <w:rPr>
          <w:rFonts w:ascii="Garamond" w:eastAsia="Aptos" w:hAnsi="Garamond" w:cs="Arial"/>
          <w:kern w:val="2"/>
          <w:sz w:val="26"/>
          <w:szCs w:val="26"/>
          <w14:ligatures w14:val="standardContextual"/>
        </w:rPr>
        <w:t xml:space="preserve"> di RUP e DEC</w:t>
      </w:r>
      <w:r w:rsidR="00C01A16" w:rsidRPr="007A5701">
        <w:rPr>
          <w:rFonts w:ascii="Garamond" w:eastAsia="Aptos" w:hAnsi="Garamond" w:cs="Arial"/>
          <w:kern w:val="2"/>
          <w:sz w:val="26"/>
          <w:szCs w:val="26"/>
          <w14:ligatures w14:val="standardContextual"/>
        </w:rPr>
        <w:t>;</w:t>
      </w:r>
    </w:p>
    <w:p w14:paraId="4A3B1D11" w14:textId="46E64B7E" w:rsidR="009B566D" w:rsidRPr="007A5701" w:rsidRDefault="009B566D" w:rsidP="00B8265F">
      <w:pPr>
        <w:pStyle w:val="Paragrafoelenco"/>
        <w:numPr>
          <w:ilvl w:val="0"/>
          <w:numId w:val="15"/>
        </w:numPr>
        <w:spacing w:afterLines="160" w:after="384" w:line="276" w:lineRule="auto"/>
        <w:jc w:val="both"/>
        <w:rPr>
          <w:rFonts w:ascii="Garamond" w:eastAsia="Aptos" w:hAnsi="Garamond" w:cs="Arial"/>
          <w:kern w:val="2"/>
          <w:sz w:val="26"/>
          <w:szCs w:val="26"/>
          <w14:ligatures w14:val="standardContextual"/>
        </w:rPr>
      </w:pPr>
      <w:r w:rsidRPr="007A5701">
        <w:rPr>
          <w:rFonts w:ascii="Garamond" w:eastAsia="Aptos" w:hAnsi="Garamond" w:cs="Arial"/>
          <w:kern w:val="2"/>
          <w:sz w:val="26"/>
          <w:szCs w:val="26"/>
          <w14:ligatures w14:val="standardContextual"/>
        </w:rPr>
        <w:t>Tutela e trattamento dei dati personali</w:t>
      </w:r>
      <w:r w:rsidR="00C01A16" w:rsidRPr="007A5701">
        <w:rPr>
          <w:rFonts w:ascii="Garamond" w:eastAsia="Aptos" w:hAnsi="Garamond" w:cs="Arial"/>
          <w:kern w:val="2"/>
          <w:sz w:val="26"/>
          <w:szCs w:val="26"/>
          <w14:ligatures w14:val="standardContextual"/>
        </w:rPr>
        <w:t>;</w:t>
      </w:r>
    </w:p>
    <w:p w14:paraId="3807777D" w14:textId="77777777" w:rsidR="00615938" w:rsidRDefault="00C01A16" w:rsidP="00615938">
      <w:pPr>
        <w:pStyle w:val="Paragrafoelenco"/>
        <w:numPr>
          <w:ilvl w:val="0"/>
          <w:numId w:val="15"/>
        </w:numPr>
        <w:spacing w:afterLines="160" w:after="384" w:line="276" w:lineRule="auto"/>
        <w:jc w:val="both"/>
        <w:rPr>
          <w:rFonts w:ascii="Garamond" w:eastAsia="Aptos" w:hAnsi="Garamond" w:cs="Arial"/>
          <w:kern w:val="2"/>
          <w:sz w:val="26"/>
          <w:szCs w:val="26"/>
          <w14:ligatures w14:val="standardContextual"/>
        </w:rPr>
      </w:pPr>
      <w:r w:rsidRPr="007A5701">
        <w:rPr>
          <w:rFonts w:ascii="Garamond" w:eastAsia="Aptos" w:hAnsi="Garamond" w:cs="Arial"/>
          <w:kern w:val="2"/>
          <w:sz w:val="26"/>
          <w:szCs w:val="26"/>
          <w14:ligatures w14:val="standardContextual"/>
        </w:rPr>
        <w:t>W</w:t>
      </w:r>
      <w:r w:rsidR="003707E9" w:rsidRPr="007A5701">
        <w:rPr>
          <w:rFonts w:ascii="Garamond" w:eastAsia="Aptos" w:hAnsi="Garamond" w:cs="Arial"/>
          <w:kern w:val="2"/>
          <w:sz w:val="26"/>
          <w:szCs w:val="26"/>
          <w14:ligatures w14:val="standardContextual"/>
        </w:rPr>
        <w:t>h</w:t>
      </w:r>
      <w:r w:rsidR="00AC2CFF" w:rsidRPr="007A5701">
        <w:rPr>
          <w:rFonts w:ascii="Garamond" w:eastAsia="Aptos" w:hAnsi="Garamond" w:cs="Arial"/>
          <w:kern w:val="2"/>
          <w:sz w:val="26"/>
          <w:szCs w:val="26"/>
          <w14:ligatures w14:val="standardContextual"/>
        </w:rPr>
        <w:t>istleblowing</w:t>
      </w:r>
      <w:r w:rsidRPr="007A5701">
        <w:rPr>
          <w:rFonts w:ascii="Garamond" w:eastAsia="Aptos" w:hAnsi="Garamond" w:cs="Arial"/>
          <w:kern w:val="2"/>
          <w:sz w:val="26"/>
          <w:szCs w:val="26"/>
          <w14:ligatures w14:val="standardContextual"/>
        </w:rPr>
        <w:t>.</w:t>
      </w:r>
    </w:p>
    <w:p w14:paraId="462D47D3" w14:textId="044E5A1F" w:rsidR="002B4947" w:rsidRPr="00CA3D68" w:rsidRDefault="0075733B" w:rsidP="00CA3D68">
      <w:pPr>
        <w:pStyle w:val="Paragrafoelenco"/>
        <w:spacing w:afterLines="160" w:after="384" w:line="276" w:lineRule="auto"/>
        <w:ind w:left="644" w:hanging="644"/>
        <w:jc w:val="both"/>
        <w:rPr>
          <w:rFonts w:ascii="Garamond" w:eastAsia="Aptos" w:hAnsi="Garamond" w:cs="Arial"/>
          <w:kern w:val="2"/>
          <w:sz w:val="26"/>
          <w:szCs w:val="26"/>
          <w14:ligatures w14:val="standardContextual"/>
        </w:rPr>
      </w:pPr>
      <w:r w:rsidRPr="00615938">
        <w:rPr>
          <w:rFonts w:ascii="Garamond" w:eastAsia="Aptos" w:hAnsi="Garamond" w:cs="Arial"/>
          <w:kern w:val="2"/>
          <w:sz w:val="26"/>
          <w:szCs w:val="26"/>
          <w14:ligatures w14:val="standardContextual"/>
        </w:rPr>
        <w:t>I destinatari dei menzionati interventi formativi saranno individuati dal RPCT.</w:t>
      </w:r>
    </w:p>
    <w:p w14:paraId="6D4CFE6E" w14:textId="2A6D8252" w:rsidR="00C67AF2" w:rsidRPr="008E2B66" w:rsidRDefault="00772790" w:rsidP="00CF7353">
      <w:pPr>
        <w:autoSpaceDE w:val="0"/>
        <w:autoSpaceDN w:val="0"/>
        <w:adjustRightInd w:val="0"/>
        <w:spacing w:after="80" w:line="360" w:lineRule="auto"/>
        <w:jc w:val="both"/>
        <w:rPr>
          <w:rFonts w:ascii="Garamond" w:eastAsia="Arial Unicode MS" w:hAnsi="Garamond" w:cs="Arial"/>
          <w:b/>
          <w:bCs/>
          <w:sz w:val="26"/>
          <w:szCs w:val="26"/>
          <w:u w:color="000000"/>
          <w:bdr w:val="nil"/>
          <w:lang w:eastAsia="it-IT"/>
        </w:rPr>
      </w:pPr>
      <w:r w:rsidRPr="008E2B66">
        <w:rPr>
          <w:rFonts w:ascii="Garamond" w:eastAsiaTheme="minorHAnsi" w:hAnsi="Garamond" w:cs="Arial"/>
          <w:b/>
          <w:bCs/>
          <w:sz w:val="26"/>
          <w:szCs w:val="26"/>
        </w:rPr>
        <w:t>2.3.</w:t>
      </w:r>
      <w:r w:rsidR="00964C6D" w:rsidRPr="008E2B66">
        <w:rPr>
          <w:rFonts w:ascii="Garamond" w:eastAsiaTheme="minorHAnsi" w:hAnsi="Garamond" w:cs="Arial"/>
          <w:b/>
          <w:bCs/>
          <w:sz w:val="26"/>
          <w:szCs w:val="26"/>
        </w:rPr>
        <w:t>2.6</w:t>
      </w:r>
      <w:r w:rsidRPr="008E2B66">
        <w:rPr>
          <w:rFonts w:ascii="Garamond" w:eastAsiaTheme="minorHAnsi" w:hAnsi="Garamond" w:cs="Arial"/>
          <w:sz w:val="26"/>
          <w:szCs w:val="26"/>
        </w:rPr>
        <w:t xml:space="preserve"> </w:t>
      </w:r>
      <w:r w:rsidR="00454620" w:rsidRPr="008E2B66">
        <w:rPr>
          <w:rFonts w:ascii="Garamond" w:eastAsia="Arial Unicode MS" w:hAnsi="Garamond" w:cs="Arial"/>
          <w:b/>
          <w:bCs/>
          <w:sz w:val="26"/>
          <w:szCs w:val="26"/>
          <w:u w:color="000000"/>
          <w:bdr w:val="nil"/>
          <w:lang w:eastAsia="it-IT"/>
        </w:rPr>
        <w:t>Misure di prevenzione generali</w:t>
      </w:r>
      <w:r w:rsidR="00175092" w:rsidRPr="008E2B66">
        <w:rPr>
          <w:rFonts w:ascii="Garamond" w:eastAsia="Arial Unicode MS" w:hAnsi="Garamond" w:cs="Arial"/>
          <w:b/>
          <w:bCs/>
          <w:sz w:val="26"/>
          <w:szCs w:val="26"/>
          <w:u w:color="000000"/>
          <w:bdr w:val="nil"/>
          <w:lang w:eastAsia="it-IT"/>
        </w:rPr>
        <w:t xml:space="preserve"> e specifiche</w:t>
      </w:r>
    </w:p>
    <w:p w14:paraId="5109690B" w14:textId="74C545B8" w:rsidR="007B6EC1" w:rsidRPr="00615938" w:rsidRDefault="007B6EC1" w:rsidP="00CF7353">
      <w:pPr>
        <w:pStyle w:val="Paragrafoelenco"/>
        <w:autoSpaceDE w:val="0"/>
        <w:autoSpaceDN w:val="0"/>
        <w:adjustRightInd w:val="0"/>
        <w:spacing w:after="80" w:line="360" w:lineRule="auto"/>
        <w:ind w:left="0"/>
        <w:jc w:val="both"/>
        <w:rPr>
          <w:rFonts w:ascii="Garamond" w:eastAsiaTheme="minorHAnsi" w:hAnsi="Garamond" w:cs="Arial"/>
          <w:sz w:val="26"/>
          <w:szCs w:val="26"/>
        </w:rPr>
      </w:pPr>
      <w:r w:rsidRPr="00615938">
        <w:rPr>
          <w:rFonts w:ascii="Garamond" w:eastAsia="Arial Unicode MS" w:hAnsi="Garamond" w:cs="Arial"/>
          <w:b/>
          <w:bCs/>
          <w:sz w:val="26"/>
          <w:szCs w:val="26"/>
          <w:u w:color="000000"/>
          <w:bdr w:val="nil"/>
          <w:lang w:eastAsia="it-IT"/>
        </w:rPr>
        <w:t>Inconferibilità e incompatibilità (D. Lgs. n. 39/2013)</w:t>
      </w:r>
      <w:r w:rsidR="00352748" w:rsidRPr="00615938">
        <w:rPr>
          <w:rFonts w:ascii="Garamond" w:eastAsia="Arial Unicode MS" w:hAnsi="Garamond" w:cs="Arial"/>
          <w:b/>
          <w:bCs/>
          <w:sz w:val="26"/>
          <w:szCs w:val="26"/>
          <w:u w:color="000000"/>
          <w:bdr w:val="nil"/>
          <w:lang w:eastAsia="it-IT"/>
        </w:rPr>
        <w:t xml:space="preserve"> </w:t>
      </w:r>
    </w:p>
    <w:p w14:paraId="758ABEDF" w14:textId="1ADBA91D" w:rsidR="00D637E7" w:rsidRPr="00615938" w:rsidRDefault="00B63033" w:rsidP="009B5937">
      <w:pPr>
        <w:spacing w:after="80" w:line="276" w:lineRule="auto"/>
        <w:jc w:val="both"/>
        <w:rPr>
          <w:rFonts w:ascii="Garamond" w:hAnsi="Garamond" w:cs="Arial"/>
          <w:sz w:val="26"/>
          <w:szCs w:val="26"/>
          <w:u w:color="000000"/>
        </w:rPr>
      </w:pPr>
      <w:r w:rsidRPr="00615938">
        <w:rPr>
          <w:rFonts w:ascii="Garamond" w:hAnsi="Garamond" w:cs="Arial"/>
          <w:sz w:val="26"/>
          <w:szCs w:val="26"/>
          <w:u w:color="000000"/>
        </w:rPr>
        <w:t>L’Ente</w:t>
      </w:r>
      <w:r w:rsidR="001E63CA" w:rsidRPr="00615938">
        <w:rPr>
          <w:rFonts w:ascii="Garamond" w:hAnsi="Garamond" w:cs="Arial"/>
          <w:sz w:val="26"/>
          <w:szCs w:val="26"/>
          <w:u w:color="000000"/>
        </w:rPr>
        <w:t xml:space="preserve"> </w:t>
      </w:r>
      <w:r w:rsidR="008708E0" w:rsidRPr="00615938">
        <w:rPr>
          <w:rFonts w:ascii="Garamond" w:hAnsi="Garamond" w:cs="Arial"/>
          <w:sz w:val="26"/>
          <w:szCs w:val="26"/>
          <w:u w:color="000000"/>
        </w:rPr>
        <w:t xml:space="preserve">ha adottato direttive interne per </w:t>
      </w:r>
      <w:r w:rsidR="002B4947" w:rsidRPr="00615938">
        <w:rPr>
          <w:rFonts w:ascii="Garamond" w:hAnsi="Garamond" w:cs="Arial"/>
          <w:sz w:val="26"/>
          <w:szCs w:val="26"/>
          <w:u w:color="000000"/>
        </w:rPr>
        <w:t>attuare le norme</w:t>
      </w:r>
      <w:r w:rsidR="005B3FE7" w:rsidRPr="00615938">
        <w:rPr>
          <w:rFonts w:ascii="Garamond" w:hAnsi="Garamond" w:cs="Arial"/>
          <w:sz w:val="26"/>
          <w:szCs w:val="26"/>
          <w:u w:color="000000"/>
        </w:rPr>
        <w:t xml:space="preserve"> in materia di </w:t>
      </w:r>
      <w:r w:rsidR="005B3FE7" w:rsidRPr="00615938">
        <w:rPr>
          <w:rFonts w:ascii="Garamond" w:hAnsi="Garamond" w:cs="Arial"/>
          <w:i/>
          <w:iCs/>
          <w:sz w:val="26"/>
          <w:szCs w:val="26"/>
          <w:u w:color="000000"/>
        </w:rPr>
        <w:t>inconferibilità e incompatibilità</w:t>
      </w:r>
      <w:r w:rsidR="009203D8" w:rsidRPr="00615938">
        <w:rPr>
          <w:rFonts w:ascii="Garamond" w:hAnsi="Garamond" w:cs="Arial"/>
          <w:i/>
          <w:iCs/>
          <w:sz w:val="26"/>
          <w:szCs w:val="26"/>
          <w:u w:color="000000"/>
        </w:rPr>
        <w:t xml:space="preserve"> di incarichi dirigenziali</w:t>
      </w:r>
      <w:r w:rsidR="00DD10E3" w:rsidRPr="00615938">
        <w:rPr>
          <w:rFonts w:ascii="Garamond" w:hAnsi="Garamond" w:cs="Arial"/>
          <w:sz w:val="26"/>
          <w:szCs w:val="26"/>
          <w:u w:color="000000"/>
        </w:rPr>
        <w:t xml:space="preserve">; </w:t>
      </w:r>
      <w:r w:rsidR="00B41BC4" w:rsidRPr="00615938">
        <w:rPr>
          <w:rFonts w:ascii="Garamond" w:hAnsi="Garamond" w:cs="Arial"/>
          <w:sz w:val="26"/>
          <w:szCs w:val="26"/>
          <w:u w:color="000000"/>
        </w:rPr>
        <w:t>in particolare il</w:t>
      </w:r>
      <w:r w:rsidR="009B5937" w:rsidRPr="00615938">
        <w:rPr>
          <w:rFonts w:ascii="Garamond" w:hAnsi="Garamond" w:cs="Arial"/>
          <w:sz w:val="26"/>
          <w:szCs w:val="26"/>
          <w:u w:color="000000"/>
        </w:rPr>
        <w:t xml:space="preserve"> RPCT</w:t>
      </w:r>
      <w:r w:rsidR="00DD10E3" w:rsidRPr="00615938">
        <w:rPr>
          <w:rFonts w:ascii="Garamond" w:hAnsi="Garamond" w:cs="Arial"/>
          <w:sz w:val="26"/>
          <w:szCs w:val="26"/>
          <w:u w:color="000000"/>
        </w:rPr>
        <w:t xml:space="preserve"> - </w:t>
      </w:r>
      <w:r w:rsidR="009B5937" w:rsidRPr="00615938">
        <w:rPr>
          <w:rFonts w:ascii="Garamond" w:hAnsi="Garamond" w:cs="Arial"/>
          <w:sz w:val="26"/>
          <w:szCs w:val="26"/>
          <w:u w:color="000000"/>
        </w:rPr>
        <w:t>con nota prot. n. 61512 del 24</w:t>
      </w:r>
      <w:r w:rsidR="00DD10E3" w:rsidRPr="00615938">
        <w:rPr>
          <w:rFonts w:ascii="Garamond" w:hAnsi="Garamond" w:cs="Arial"/>
          <w:sz w:val="26"/>
          <w:szCs w:val="26"/>
          <w:u w:color="000000"/>
        </w:rPr>
        <w:t xml:space="preserve"> giugno </w:t>
      </w:r>
      <w:r w:rsidR="009B5937" w:rsidRPr="00615938">
        <w:rPr>
          <w:rFonts w:ascii="Garamond" w:hAnsi="Garamond" w:cs="Arial"/>
          <w:sz w:val="26"/>
          <w:szCs w:val="26"/>
          <w:u w:color="000000"/>
        </w:rPr>
        <w:t xml:space="preserve">2022 </w:t>
      </w:r>
      <w:r w:rsidR="002B4947" w:rsidRPr="00615938">
        <w:rPr>
          <w:rFonts w:ascii="Garamond" w:hAnsi="Garamond" w:cs="Arial"/>
          <w:sz w:val="26"/>
          <w:szCs w:val="26"/>
          <w:u w:color="000000"/>
        </w:rPr>
        <w:t>(</w:t>
      </w:r>
      <w:hyperlink r:id="rId12" w:history="1">
        <w:r w:rsidR="00D637E7" w:rsidRPr="00615938">
          <w:rPr>
            <w:rStyle w:val="Collegamentoipertestuale"/>
            <w:rFonts w:ascii="Garamond" w:hAnsi="Garamond" w:cs="Arial"/>
            <w:sz w:val="26"/>
            <w:szCs w:val="26"/>
          </w:rPr>
          <w:t>https://www.crea.gov.it/en/circolari-in-materia-di-anticorruzione-e-trasparenza</w:t>
        </w:r>
      </w:hyperlink>
      <w:r w:rsidR="002B4947" w:rsidRPr="00615938">
        <w:t>)</w:t>
      </w:r>
      <w:r w:rsidR="00DD10E3" w:rsidRPr="00615938">
        <w:rPr>
          <w:rFonts w:ascii="Garamond" w:hAnsi="Garamond"/>
          <w:sz w:val="26"/>
          <w:szCs w:val="26"/>
        </w:rPr>
        <w:t xml:space="preserve"> - </w:t>
      </w:r>
      <w:r w:rsidR="009B5937" w:rsidRPr="00615938">
        <w:rPr>
          <w:rFonts w:ascii="Garamond" w:hAnsi="Garamond" w:cs="Arial"/>
          <w:sz w:val="26"/>
          <w:szCs w:val="26"/>
          <w:u w:color="000000"/>
        </w:rPr>
        <w:t>ha fornito</w:t>
      </w:r>
      <w:r w:rsidR="00D637E7" w:rsidRPr="00615938">
        <w:rPr>
          <w:rFonts w:ascii="Garamond" w:hAnsi="Garamond" w:cs="Arial"/>
          <w:sz w:val="26"/>
          <w:szCs w:val="26"/>
          <w:u w:color="000000"/>
        </w:rPr>
        <w:t>,</w:t>
      </w:r>
      <w:r w:rsidR="00FA0A02">
        <w:rPr>
          <w:rFonts w:ascii="Garamond" w:hAnsi="Garamond" w:cs="Arial"/>
          <w:sz w:val="26"/>
          <w:szCs w:val="26"/>
          <w:u w:color="000000"/>
        </w:rPr>
        <w:t xml:space="preserve"> </w:t>
      </w:r>
      <w:r w:rsidR="009B5937" w:rsidRPr="00615938">
        <w:rPr>
          <w:rFonts w:ascii="Garamond" w:hAnsi="Garamond" w:cs="Arial"/>
          <w:sz w:val="26"/>
          <w:szCs w:val="26"/>
          <w:u w:color="000000"/>
        </w:rPr>
        <w:t xml:space="preserve">all’Ufficio </w:t>
      </w:r>
      <w:r w:rsidR="009B5937" w:rsidRPr="00615938">
        <w:rPr>
          <w:rFonts w:ascii="Garamond" w:hAnsi="Garamond" w:cs="Arial"/>
          <w:i/>
          <w:iCs/>
          <w:sz w:val="26"/>
          <w:szCs w:val="26"/>
          <w:u w:color="000000"/>
        </w:rPr>
        <w:t>Gestione del personale USC3</w:t>
      </w:r>
      <w:r w:rsidR="00A44FC7" w:rsidRPr="00615938">
        <w:rPr>
          <w:rFonts w:ascii="Garamond" w:hAnsi="Garamond" w:cs="Arial"/>
          <w:sz w:val="26"/>
          <w:szCs w:val="26"/>
          <w:u w:color="000000"/>
        </w:rPr>
        <w:t xml:space="preserve"> </w:t>
      </w:r>
      <w:r w:rsidR="009B5937" w:rsidRPr="00615938">
        <w:rPr>
          <w:rFonts w:ascii="Garamond" w:hAnsi="Garamond" w:cs="Arial"/>
          <w:sz w:val="26"/>
          <w:szCs w:val="26"/>
          <w:u w:color="000000"/>
        </w:rPr>
        <w:t xml:space="preserve">e alla </w:t>
      </w:r>
      <w:r w:rsidR="009B5937" w:rsidRPr="00615938">
        <w:rPr>
          <w:rFonts w:ascii="Garamond" w:hAnsi="Garamond" w:cs="Arial"/>
          <w:i/>
          <w:iCs/>
          <w:sz w:val="26"/>
          <w:szCs w:val="26"/>
          <w:u w:color="000000"/>
        </w:rPr>
        <w:t>Struttura di Supporto</w:t>
      </w:r>
      <w:r w:rsidR="00D637E7" w:rsidRPr="00615938">
        <w:rPr>
          <w:rFonts w:ascii="Garamond" w:hAnsi="Garamond" w:cs="Arial"/>
          <w:i/>
          <w:iCs/>
          <w:sz w:val="26"/>
          <w:szCs w:val="26"/>
          <w:u w:color="000000"/>
        </w:rPr>
        <w:t>,</w:t>
      </w:r>
      <w:r w:rsidR="009B5937" w:rsidRPr="00615938">
        <w:rPr>
          <w:rFonts w:ascii="Garamond" w:hAnsi="Garamond" w:cs="Arial"/>
          <w:sz w:val="26"/>
          <w:szCs w:val="26"/>
          <w:u w:color="000000"/>
        </w:rPr>
        <w:t xml:space="preserve"> alcune precisazioni operative e i </w:t>
      </w:r>
      <w:r w:rsidR="009B5937" w:rsidRPr="00615938">
        <w:rPr>
          <w:rFonts w:ascii="Garamond" w:hAnsi="Garamond" w:cs="Arial"/>
          <w:i/>
          <w:iCs/>
          <w:sz w:val="26"/>
          <w:szCs w:val="26"/>
          <w:u w:color="000000"/>
        </w:rPr>
        <w:t>f</w:t>
      </w:r>
      <w:r w:rsidR="00DD10E3" w:rsidRPr="00615938">
        <w:rPr>
          <w:rFonts w:ascii="Garamond" w:hAnsi="Garamond" w:cs="Arial"/>
          <w:i/>
          <w:iCs/>
          <w:sz w:val="26"/>
          <w:szCs w:val="26"/>
          <w:u w:color="000000"/>
        </w:rPr>
        <w:t>orm</w:t>
      </w:r>
      <w:r w:rsidR="009B5937" w:rsidRPr="00615938">
        <w:rPr>
          <w:rFonts w:ascii="Garamond" w:hAnsi="Garamond" w:cs="Arial"/>
          <w:i/>
          <w:iCs/>
          <w:sz w:val="26"/>
          <w:szCs w:val="26"/>
          <w:u w:color="000000"/>
        </w:rPr>
        <w:t xml:space="preserve"> </w:t>
      </w:r>
      <w:r w:rsidR="009B5937" w:rsidRPr="00615938">
        <w:rPr>
          <w:rFonts w:ascii="Garamond" w:hAnsi="Garamond" w:cs="Arial"/>
          <w:sz w:val="26"/>
          <w:szCs w:val="26"/>
          <w:u w:color="000000"/>
        </w:rPr>
        <w:t>aggiornati</w:t>
      </w:r>
      <w:r w:rsidR="009B5937" w:rsidRPr="00615938">
        <w:rPr>
          <w:rFonts w:ascii="Garamond" w:hAnsi="Garamond" w:cs="Arial"/>
          <w:b/>
          <w:bCs/>
          <w:sz w:val="26"/>
          <w:szCs w:val="26"/>
          <w:u w:color="000000"/>
        </w:rPr>
        <w:t xml:space="preserve"> </w:t>
      </w:r>
      <w:r w:rsidR="009B5937" w:rsidRPr="00615938">
        <w:rPr>
          <w:rFonts w:ascii="Garamond" w:hAnsi="Garamond" w:cs="Arial"/>
          <w:sz w:val="26"/>
          <w:szCs w:val="26"/>
          <w:u w:color="000000"/>
        </w:rPr>
        <w:t xml:space="preserve">per la presentazione delle dichiarazioni di inconferibilità e incompatibilità. </w:t>
      </w:r>
    </w:p>
    <w:p w14:paraId="47C62C97" w14:textId="63E5A452" w:rsidR="00551E74" w:rsidRPr="00615938" w:rsidRDefault="00DD10E3" w:rsidP="009B5937">
      <w:pPr>
        <w:spacing w:after="80" w:line="276" w:lineRule="auto"/>
        <w:jc w:val="both"/>
        <w:rPr>
          <w:rFonts w:ascii="Garamond" w:hAnsi="Garamond" w:cs="Arial"/>
          <w:sz w:val="26"/>
          <w:szCs w:val="26"/>
          <w:u w:color="000000"/>
        </w:rPr>
      </w:pPr>
      <w:r w:rsidRPr="00615938">
        <w:rPr>
          <w:rFonts w:ascii="Garamond" w:hAnsi="Garamond" w:cs="Arial"/>
          <w:sz w:val="26"/>
          <w:szCs w:val="26"/>
          <w:u w:color="000000"/>
        </w:rPr>
        <w:t>Tali</w:t>
      </w:r>
      <w:r w:rsidR="009B5937" w:rsidRPr="00615938">
        <w:rPr>
          <w:rFonts w:ascii="Garamond" w:hAnsi="Garamond" w:cs="Arial"/>
          <w:sz w:val="26"/>
          <w:szCs w:val="26"/>
          <w:u w:color="000000"/>
        </w:rPr>
        <w:t xml:space="preserve"> dichiarazioni devono essere </w:t>
      </w:r>
      <w:r w:rsidR="001C7216" w:rsidRPr="00615938">
        <w:rPr>
          <w:rFonts w:ascii="Garamond" w:hAnsi="Garamond" w:cs="Arial"/>
          <w:sz w:val="26"/>
          <w:szCs w:val="26"/>
          <w:u w:color="000000"/>
        </w:rPr>
        <w:t>rese</w:t>
      </w:r>
      <w:r w:rsidR="00C129ED" w:rsidRPr="00615938">
        <w:rPr>
          <w:rFonts w:ascii="Garamond" w:hAnsi="Garamond" w:cs="Arial"/>
          <w:sz w:val="26"/>
          <w:szCs w:val="26"/>
          <w:u w:color="000000"/>
        </w:rPr>
        <w:t>, all’</w:t>
      </w:r>
      <w:r w:rsidR="00C129ED" w:rsidRPr="00615938">
        <w:rPr>
          <w:rFonts w:ascii="Garamond" w:hAnsi="Garamond" w:cs="Arial"/>
          <w:i/>
          <w:iCs/>
          <w:sz w:val="26"/>
          <w:szCs w:val="26"/>
          <w:u w:color="000000"/>
        </w:rPr>
        <w:t>Ufficio Gestione del Personale,</w:t>
      </w:r>
      <w:r w:rsidR="001C7216" w:rsidRPr="00615938">
        <w:rPr>
          <w:rFonts w:ascii="Garamond" w:hAnsi="Garamond" w:cs="Arial"/>
          <w:sz w:val="26"/>
          <w:szCs w:val="26"/>
          <w:u w:color="000000"/>
        </w:rPr>
        <w:t xml:space="preserve"> </w:t>
      </w:r>
      <w:r w:rsidR="009B5937" w:rsidRPr="00615938">
        <w:rPr>
          <w:rFonts w:ascii="Garamond" w:hAnsi="Garamond" w:cs="Arial"/>
          <w:sz w:val="26"/>
          <w:szCs w:val="26"/>
          <w:u w:color="000000"/>
        </w:rPr>
        <w:t xml:space="preserve">dai titolari di tutte le tipologie di incarichi ai sensi del </w:t>
      </w:r>
      <w:r w:rsidR="007B45E9" w:rsidRPr="00615938">
        <w:rPr>
          <w:rFonts w:ascii="Garamond" w:hAnsi="Garamond" w:cs="Arial"/>
          <w:sz w:val="26"/>
          <w:szCs w:val="26"/>
          <w:u w:color="000000"/>
        </w:rPr>
        <w:t>D</w:t>
      </w:r>
      <w:r w:rsidR="009B5937" w:rsidRPr="00615938">
        <w:rPr>
          <w:rFonts w:ascii="Garamond" w:hAnsi="Garamond" w:cs="Arial"/>
          <w:sz w:val="26"/>
          <w:szCs w:val="26"/>
          <w:u w:color="000000"/>
        </w:rPr>
        <w:t xml:space="preserve">lgs. n. 39/2013 al momento del conferimento, </w:t>
      </w:r>
      <w:r w:rsidR="007B45E9" w:rsidRPr="00615938">
        <w:rPr>
          <w:rFonts w:ascii="Garamond" w:hAnsi="Garamond" w:cs="Arial"/>
          <w:sz w:val="26"/>
          <w:szCs w:val="26"/>
          <w:u w:color="000000"/>
        </w:rPr>
        <w:t>poiché</w:t>
      </w:r>
      <w:r w:rsidR="009B5937" w:rsidRPr="00615938">
        <w:rPr>
          <w:rFonts w:ascii="Garamond" w:hAnsi="Garamond" w:cs="Arial"/>
          <w:sz w:val="26"/>
          <w:szCs w:val="26"/>
          <w:u w:color="000000"/>
        </w:rPr>
        <w:t xml:space="preserve"> la dichiarazione sull’insussistenza di cause di inconferibilità </w:t>
      </w:r>
      <w:r w:rsidR="00D637E7" w:rsidRPr="00615938">
        <w:rPr>
          <w:rFonts w:ascii="Garamond" w:hAnsi="Garamond" w:cs="Arial"/>
          <w:sz w:val="26"/>
          <w:szCs w:val="26"/>
          <w:u w:color="000000"/>
        </w:rPr>
        <w:t xml:space="preserve">ne è </w:t>
      </w:r>
      <w:r w:rsidR="009B5937" w:rsidRPr="00615938">
        <w:rPr>
          <w:rFonts w:ascii="Garamond" w:hAnsi="Garamond" w:cs="Arial"/>
          <w:sz w:val="26"/>
          <w:szCs w:val="26"/>
          <w:u w:color="000000"/>
        </w:rPr>
        <w:t>condizione di efficacia</w:t>
      </w:r>
      <w:r w:rsidR="00D637E7" w:rsidRPr="00615938">
        <w:rPr>
          <w:rFonts w:ascii="Garamond" w:hAnsi="Garamond" w:cs="Arial"/>
          <w:sz w:val="26"/>
          <w:szCs w:val="26"/>
          <w:u w:color="000000"/>
        </w:rPr>
        <w:t>.</w:t>
      </w:r>
      <w:r w:rsidR="009B5937" w:rsidRPr="00615938">
        <w:rPr>
          <w:rFonts w:ascii="Garamond" w:hAnsi="Garamond" w:cs="Arial"/>
          <w:sz w:val="26"/>
          <w:szCs w:val="26"/>
          <w:u w:color="000000"/>
        </w:rPr>
        <w:t xml:space="preserve"> La dichiarazione sulla insussistenza di cause di incompatibilità deve</w:t>
      </w:r>
      <w:r w:rsidR="00551E74" w:rsidRPr="00615938">
        <w:rPr>
          <w:rFonts w:ascii="Garamond" w:hAnsi="Garamond" w:cs="Arial"/>
          <w:sz w:val="26"/>
          <w:szCs w:val="26"/>
          <w:u w:color="000000"/>
        </w:rPr>
        <w:t>, altresì,</w:t>
      </w:r>
      <w:r w:rsidR="009B5937" w:rsidRPr="00615938">
        <w:rPr>
          <w:rFonts w:ascii="Garamond" w:hAnsi="Garamond" w:cs="Arial"/>
          <w:sz w:val="26"/>
          <w:szCs w:val="26"/>
          <w:u w:color="000000"/>
        </w:rPr>
        <w:t xml:space="preserve"> essere rinnovata annualmente.</w:t>
      </w:r>
    </w:p>
    <w:p w14:paraId="62CFEB5F" w14:textId="1F77062B" w:rsidR="00FF6C0B" w:rsidRPr="00615938" w:rsidRDefault="00C80035" w:rsidP="009B5937">
      <w:pPr>
        <w:spacing w:after="80" w:line="276" w:lineRule="auto"/>
        <w:jc w:val="both"/>
        <w:rPr>
          <w:rFonts w:ascii="Garamond" w:hAnsi="Garamond" w:cs="Arial"/>
          <w:sz w:val="26"/>
          <w:szCs w:val="26"/>
          <w:u w:color="000000"/>
        </w:rPr>
      </w:pPr>
      <w:r w:rsidRPr="00615938">
        <w:rPr>
          <w:rFonts w:ascii="Garamond" w:hAnsi="Garamond" w:cs="Arial"/>
          <w:sz w:val="26"/>
          <w:szCs w:val="26"/>
          <w:u w:color="000000"/>
        </w:rPr>
        <w:t xml:space="preserve">L’Ufficio </w:t>
      </w:r>
      <w:r w:rsidR="007B45E9" w:rsidRPr="00615938">
        <w:rPr>
          <w:rFonts w:ascii="Garamond" w:hAnsi="Garamond" w:cs="Arial"/>
          <w:i/>
          <w:iCs/>
          <w:sz w:val="26"/>
          <w:szCs w:val="26"/>
          <w:u w:color="000000"/>
        </w:rPr>
        <w:t>G</w:t>
      </w:r>
      <w:r w:rsidRPr="00615938">
        <w:rPr>
          <w:rFonts w:ascii="Garamond" w:hAnsi="Garamond" w:cs="Arial"/>
          <w:i/>
          <w:iCs/>
          <w:sz w:val="26"/>
          <w:szCs w:val="26"/>
          <w:u w:color="000000"/>
        </w:rPr>
        <w:t>estione del Personale</w:t>
      </w:r>
      <w:r w:rsidR="002E543F" w:rsidRPr="00615938">
        <w:rPr>
          <w:rFonts w:ascii="Garamond" w:hAnsi="Garamond" w:cs="Arial"/>
          <w:sz w:val="26"/>
          <w:szCs w:val="26"/>
          <w:u w:color="000000"/>
        </w:rPr>
        <w:t>,</w:t>
      </w:r>
      <w:r w:rsidRPr="00615938">
        <w:rPr>
          <w:rFonts w:ascii="Garamond" w:hAnsi="Garamond" w:cs="Arial"/>
          <w:sz w:val="26"/>
          <w:szCs w:val="26"/>
          <w:u w:color="000000"/>
        </w:rPr>
        <w:t xml:space="preserve"> acquis</w:t>
      </w:r>
      <w:r w:rsidR="009C12BE" w:rsidRPr="00615938">
        <w:rPr>
          <w:rFonts w:ascii="Garamond" w:hAnsi="Garamond" w:cs="Arial"/>
          <w:sz w:val="26"/>
          <w:szCs w:val="26"/>
          <w:u w:color="000000"/>
        </w:rPr>
        <w:t xml:space="preserve">ite </w:t>
      </w:r>
      <w:r w:rsidR="007B45E9" w:rsidRPr="00615938">
        <w:rPr>
          <w:rFonts w:ascii="Garamond" w:hAnsi="Garamond" w:cs="Arial"/>
          <w:sz w:val="26"/>
          <w:szCs w:val="26"/>
          <w:u w:color="000000"/>
        </w:rPr>
        <w:t>tali</w:t>
      </w:r>
      <w:r w:rsidR="009C12BE" w:rsidRPr="00615938">
        <w:rPr>
          <w:rFonts w:ascii="Garamond" w:hAnsi="Garamond" w:cs="Arial"/>
          <w:sz w:val="26"/>
          <w:szCs w:val="26"/>
          <w:u w:color="000000"/>
        </w:rPr>
        <w:t xml:space="preserve"> dichiarazioni</w:t>
      </w:r>
      <w:r w:rsidR="002E543F" w:rsidRPr="00615938">
        <w:rPr>
          <w:rFonts w:ascii="Garamond" w:hAnsi="Garamond" w:cs="Arial"/>
          <w:sz w:val="26"/>
          <w:szCs w:val="26"/>
          <w:u w:color="000000"/>
        </w:rPr>
        <w:t>,</w:t>
      </w:r>
      <w:r w:rsidR="009C12BE" w:rsidRPr="00615938">
        <w:rPr>
          <w:rFonts w:ascii="Garamond" w:hAnsi="Garamond" w:cs="Arial"/>
          <w:sz w:val="26"/>
          <w:szCs w:val="26"/>
          <w:u w:color="000000"/>
        </w:rPr>
        <w:t xml:space="preserve"> </w:t>
      </w:r>
      <w:r w:rsidR="00B36192" w:rsidRPr="00615938">
        <w:rPr>
          <w:rFonts w:ascii="Garamond" w:hAnsi="Garamond" w:cs="Arial"/>
          <w:sz w:val="26"/>
          <w:szCs w:val="26"/>
          <w:u w:color="000000"/>
        </w:rPr>
        <w:t xml:space="preserve">le trasmette alla </w:t>
      </w:r>
      <w:r w:rsidR="007B45E9" w:rsidRPr="00615938">
        <w:rPr>
          <w:rFonts w:ascii="Garamond" w:hAnsi="Garamond" w:cs="Arial"/>
          <w:i/>
          <w:iCs/>
          <w:sz w:val="26"/>
          <w:szCs w:val="26"/>
          <w:u w:color="000000"/>
        </w:rPr>
        <w:t>S</w:t>
      </w:r>
      <w:r w:rsidR="009B5937" w:rsidRPr="00615938">
        <w:rPr>
          <w:rFonts w:ascii="Garamond" w:hAnsi="Garamond" w:cs="Arial"/>
          <w:i/>
          <w:iCs/>
          <w:sz w:val="26"/>
          <w:szCs w:val="26"/>
          <w:u w:color="000000"/>
        </w:rPr>
        <w:t>truttura di supporto</w:t>
      </w:r>
      <w:r w:rsidR="009B5937" w:rsidRPr="00615938">
        <w:rPr>
          <w:rFonts w:ascii="Garamond" w:hAnsi="Garamond" w:cs="Arial"/>
          <w:sz w:val="26"/>
          <w:szCs w:val="26"/>
          <w:u w:color="000000"/>
        </w:rPr>
        <w:t xml:space="preserve"> per l</w:t>
      </w:r>
      <w:r w:rsidR="007B45E9" w:rsidRPr="00615938">
        <w:rPr>
          <w:rFonts w:ascii="Garamond" w:hAnsi="Garamond" w:cs="Arial"/>
          <w:sz w:val="26"/>
          <w:szCs w:val="26"/>
          <w:u w:color="000000"/>
        </w:rPr>
        <w:t xml:space="preserve">e </w:t>
      </w:r>
      <w:r w:rsidR="00FF6C0B" w:rsidRPr="00615938">
        <w:rPr>
          <w:rFonts w:ascii="Garamond" w:hAnsi="Garamond" w:cs="Arial"/>
          <w:sz w:val="26"/>
          <w:szCs w:val="26"/>
          <w:u w:color="000000"/>
        </w:rPr>
        <w:t>necessarie verifiche</w:t>
      </w:r>
      <w:r w:rsidR="00E44108" w:rsidRPr="00615938">
        <w:rPr>
          <w:rFonts w:ascii="Garamond" w:hAnsi="Garamond" w:cs="Arial"/>
          <w:sz w:val="26"/>
          <w:szCs w:val="26"/>
          <w:u w:color="000000"/>
        </w:rPr>
        <w:t xml:space="preserve"> da effett</w:t>
      </w:r>
      <w:r w:rsidR="007B45E9" w:rsidRPr="00615938">
        <w:rPr>
          <w:rFonts w:ascii="Garamond" w:hAnsi="Garamond" w:cs="Arial"/>
          <w:sz w:val="26"/>
          <w:szCs w:val="26"/>
          <w:u w:color="000000"/>
        </w:rPr>
        <w:t>uare</w:t>
      </w:r>
      <w:r w:rsidR="00E44108" w:rsidRPr="00615938">
        <w:rPr>
          <w:rFonts w:ascii="Garamond" w:hAnsi="Garamond" w:cs="Arial"/>
          <w:sz w:val="26"/>
          <w:szCs w:val="26"/>
          <w:u w:color="000000"/>
        </w:rPr>
        <w:t xml:space="preserve"> con le modalità e mezzi più idonei (es. visure camerali, anagrafe prestazioni tributarie, casellario giudiziale, carichi pendenti etc.)</w:t>
      </w:r>
      <w:r w:rsidR="002E543F" w:rsidRPr="00615938">
        <w:rPr>
          <w:rFonts w:ascii="Garamond" w:hAnsi="Garamond" w:cs="Arial"/>
          <w:sz w:val="26"/>
          <w:szCs w:val="26"/>
          <w:u w:color="000000"/>
        </w:rPr>
        <w:t>.</w:t>
      </w:r>
      <w:r w:rsidR="00022725" w:rsidRPr="00615938">
        <w:rPr>
          <w:rFonts w:ascii="Garamond" w:hAnsi="Garamond" w:cs="Arial"/>
          <w:sz w:val="26"/>
          <w:szCs w:val="26"/>
          <w:u w:color="000000"/>
        </w:rPr>
        <w:t xml:space="preserve"> La </w:t>
      </w:r>
      <w:r w:rsidR="007B45E9" w:rsidRPr="00615938">
        <w:rPr>
          <w:rFonts w:ascii="Garamond" w:hAnsi="Garamond" w:cs="Arial"/>
          <w:i/>
          <w:iCs/>
          <w:sz w:val="26"/>
          <w:szCs w:val="26"/>
          <w:u w:color="000000"/>
        </w:rPr>
        <w:t>S</w:t>
      </w:r>
      <w:r w:rsidR="00022725" w:rsidRPr="00615938">
        <w:rPr>
          <w:rFonts w:ascii="Garamond" w:hAnsi="Garamond" w:cs="Arial"/>
          <w:i/>
          <w:iCs/>
          <w:sz w:val="26"/>
          <w:szCs w:val="26"/>
          <w:u w:color="000000"/>
        </w:rPr>
        <w:t>truttura</w:t>
      </w:r>
      <w:r w:rsidR="00022725" w:rsidRPr="00615938">
        <w:rPr>
          <w:rFonts w:ascii="Garamond" w:hAnsi="Garamond" w:cs="Arial"/>
          <w:sz w:val="26"/>
          <w:szCs w:val="26"/>
          <w:u w:color="000000"/>
        </w:rPr>
        <w:t xml:space="preserve"> </w:t>
      </w:r>
      <w:r w:rsidR="00D44DA5" w:rsidRPr="00615938">
        <w:rPr>
          <w:rFonts w:ascii="Garamond" w:hAnsi="Garamond" w:cs="Arial"/>
          <w:sz w:val="26"/>
          <w:szCs w:val="26"/>
          <w:u w:color="000000"/>
        </w:rPr>
        <w:t>provvede a segnalare al RPCT la presenza di cause di inconferibilità e</w:t>
      </w:r>
      <w:r w:rsidR="00BF0B2C" w:rsidRPr="00615938">
        <w:rPr>
          <w:rFonts w:ascii="Garamond" w:hAnsi="Garamond" w:cs="Arial"/>
          <w:sz w:val="26"/>
          <w:szCs w:val="26"/>
          <w:u w:color="000000"/>
        </w:rPr>
        <w:t>/</w:t>
      </w:r>
      <w:r w:rsidR="00D44DA5" w:rsidRPr="00615938">
        <w:rPr>
          <w:rFonts w:ascii="Garamond" w:hAnsi="Garamond" w:cs="Arial"/>
          <w:sz w:val="26"/>
          <w:szCs w:val="26"/>
          <w:u w:color="000000"/>
        </w:rPr>
        <w:t xml:space="preserve">o incompatibilità oppure </w:t>
      </w:r>
      <w:r w:rsidR="00BF0B2C" w:rsidRPr="00615938">
        <w:rPr>
          <w:rFonts w:ascii="Garamond" w:hAnsi="Garamond" w:cs="Arial"/>
          <w:sz w:val="26"/>
          <w:szCs w:val="26"/>
          <w:u w:color="000000"/>
        </w:rPr>
        <w:t>le dichiarazioni mendaci.</w:t>
      </w:r>
    </w:p>
    <w:p w14:paraId="362D84A8" w14:textId="4CE40A36" w:rsidR="009B5937" w:rsidRPr="00615938" w:rsidRDefault="009B5937" w:rsidP="009B5937">
      <w:pPr>
        <w:spacing w:after="80" w:line="276" w:lineRule="auto"/>
        <w:jc w:val="both"/>
        <w:rPr>
          <w:rFonts w:ascii="Garamond" w:hAnsi="Garamond" w:cs="Arial"/>
          <w:sz w:val="26"/>
          <w:szCs w:val="26"/>
          <w:u w:color="000000"/>
        </w:rPr>
      </w:pPr>
      <w:r w:rsidRPr="00615938">
        <w:rPr>
          <w:rFonts w:ascii="Garamond" w:hAnsi="Garamond" w:cs="Arial"/>
          <w:sz w:val="26"/>
          <w:szCs w:val="26"/>
          <w:u w:color="000000"/>
        </w:rPr>
        <w:t>Le dichiarazioni sono pubblicate</w:t>
      </w:r>
      <w:r w:rsidR="007B45E9" w:rsidRPr="00615938">
        <w:rPr>
          <w:rFonts w:ascii="Garamond" w:hAnsi="Garamond" w:cs="Arial"/>
          <w:sz w:val="26"/>
          <w:szCs w:val="26"/>
          <w:u w:color="000000"/>
        </w:rPr>
        <w:t xml:space="preserve"> - </w:t>
      </w:r>
      <w:r w:rsidRPr="00615938">
        <w:rPr>
          <w:rFonts w:ascii="Garamond" w:hAnsi="Garamond" w:cs="Arial"/>
          <w:sz w:val="26"/>
          <w:szCs w:val="26"/>
          <w:u w:color="000000"/>
        </w:rPr>
        <w:t>unitamente all’atto di conferimento dell’incarico</w:t>
      </w:r>
      <w:r w:rsidR="007B45E9" w:rsidRPr="00615938">
        <w:rPr>
          <w:rFonts w:ascii="Garamond" w:hAnsi="Garamond" w:cs="Arial"/>
          <w:sz w:val="26"/>
          <w:szCs w:val="26"/>
          <w:u w:color="000000"/>
        </w:rPr>
        <w:t xml:space="preserve"> - </w:t>
      </w:r>
      <w:r w:rsidRPr="00615938">
        <w:rPr>
          <w:rFonts w:ascii="Garamond" w:hAnsi="Garamond" w:cs="Arial"/>
          <w:sz w:val="26"/>
          <w:szCs w:val="26"/>
          <w:u w:color="000000"/>
        </w:rPr>
        <w:t xml:space="preserve">ai sensi dell’art. 14 del Dlgs. n. 33/2013, nell’apposita sezione del sito </w:t>
      </w:r>
      <w:r w:rsidRPr="00615938">
        <w:rPr>
          <w:rFonts w:ascii="Garamond" w:hAnsi="Garamond" w:cs="Arial"/>
          <w:i/>
          <w:iCs/>
          <w:sz w:val="26"/>
          <w:szCs w:val="26"/>
          <w:u w:color="000000"/>
        </w:rPr>
        <w:t>Amministrazione Trasparente</w:t>
      </w:r>
      <w:r w:rsidRPr="00615938">
        <w:rPr>
          <w:rFonts w:ascii="Garamond" w:hAnsi="Garamond" w:cs="Arial"/>
          <w:sz w:val="26"/>
          <w:szCs w:val="26"/>
          <w:u w:color="000000"/>
        </w:rPr>
        <w:t>.</w:t>
      </w:r>
    </w:p>
    <w:p w14:paraId="3E53F6BD" w14:textId="5082FA46" w:rsidR="009B5937" w:rsidRPr="001D1814" w:rsidRDefault="009B5937" w:rsidP="001E1540">
      <w:pPr>
        <w:spacing w:after="80" w:line="276" w:lineRule="auto"/>
        <w:jc w:val="both"/>
        <w:rPr>
          <w:rFonts w:ascii="Garamond" w:hAnsi="Garamond" w:cs="Arial"/>
          <w:sz w:val="26"/>
          <w:szCs w:val="26"/>
          <w:u w:color="000000"/>
        </w:rPr>
      </w:pPr>
      <w:r w:rsidRPr="00615938">
        <w:rPr>
          <w:rFonts w:ascii="Garamond" w:hAnsi="Garamond" w:cs="Arial"/>
          <w:sz w:val="26"/>
          <w:szCs w:val="26"/>
          <w:u w:color="000000"/>
        </w:rPr>
        <w:t xml:space="preserve">Con Decreto del Direttore Generale prot. </w:t>
      </w:r>
      <w:r w:rsidR="00D637E7" w:rsidRPr="00615938">
        <w:rPr>
          <w:rFonts w:ascii="Garamond" w:hAnsi="Garamond" w:cs="Arial"/>
          <w:sz w:val="26"/>
          <w:szCs w:val="26"/>
          <w:u w:color="000000"/>
        </w:rPr>
        <w:t xml:space="preserve">n. </w:t>
      </w:r>
      <w:r w:rsidRPr="00615938">
        <w:rPr>
          <w:rFonts w:ascii="Garamond" w:hAnsi="Garamond" w:cs="Arial"/>
          <w:sz w:val="26"/>
          <w:szCs w:val="26"/>
          <w:u w:color="000000"/>
        </w:rPr>
        <w:t>90726 del 6</w:t>
      </w:r>
      <w:r w:rsidR="007B45E9" w:rsidRPr="00615938">
        <w:rPr>
          <w:rFonts w:ascii="Garamond" w:hAnsi="Garamond" w:cs="Arial"/>
          <w:sz w:val="26"/>
          <w:szCs w:val="26"/>
          <w:u w:color="000000"/>
        </w:rPr>
        <w:t xml:space="preserve"> ottobre </w:t>
      </w:r>
      <w:r w:rsidRPr="00615938">
        <w:rPr>
          <w:rFonts w:ascii="Garamond" w:hAnsi="Garamond" w:cs="Arial"/>
          <w:sz w:val="26"/>
          <w:szCs w:val="26"/>
          <w:u w:color="000000"/>
        </w:rPr>
        <w:t xml:space="preserve">2023 è stata </w:t>
      </w:r>
      <w:r w:rsidR="007B45E9" w:rsidRPr="00615938">
        <w:rPr>
          <w:rFonts w:ascii="Garamond" w:hAnsi="Garamond" w:cs="Arial"/>
          <w:sz w:val="26"/>
          <w:szCs w:val="26"/>
          <w:u w:color="000000"/>
        </w:rPr>
        <w:t>ri</w:t>
      </w:r>
      <w:r w:rsidRPr="00615938">
        <w:rPr>
          <w:rFonts w:ascii="Garamond" w:hAnsi="Garamond" w:cs="Arial"/>
          <w:sz w:val="26"/>
          <w:szCs w:val="26"/>
          <w:u w:color="000000"/>
        </w:rPr>
        <w:t>costituita</w:t>
      </w:r>
      <w:r w:rsidR="007B45E9" w:rsidRPr="00615938">
        <w:rPr>
          <w:rFonts w:ascii="Garamond" w:hAnsi="Garamond" w:cs="Arial"/>
          <w:sz w:val="26"/>
          <w:szCs w:val="26"/>
          <w:u w:color="000000"/>
        </w:rPr>
        <w:t>,</w:t>
      </w:r>
      <w:r w:rsidRPr="00615938">
        <w:rPr>
          <w:rFonts w:ascii="Garamond" w:hAnsi="Garamond" w:cs="Arial"/>
          <w:sz w:val="26"/>
          <w:szCs w:val="26"/>
          <w:u w:color="000000"/>
        </w:rPr>
        <w:t xml:space="preserve"> per un triennio</w:t>
      </w:r>
      <w:r w:rsidR="007B45E9" w:rsidRPr="00615938">
        <w:rPr>
          <w:rFonts w:ascii="Garamond" w:hAnsi="Garamond" w:cs="Arial"/>
          <w:sz w:val="26"/>
          <w:szCs w:val="26"/>
          <w:u w:color="000000"/>
        </w:rPr>
        <w:t>,</w:t>
      </w:r>
      <w:r w:rsidRPr="00615938">
        <w:rPr>
          <w:rFonts w:ascii="Garamond" w:hAnsi="Garamond" w:cs="Arial"/>
          <w:sz w:val="26"/>
          <w:szCs w:val="26"/>
          <w:u w:color="000000"/>
        </w:rPr>
        <w:t xml:space="preserve"> la </w:t>
      </w:r>
      <w:r w:rsidRPr="00615938">
        <w:rPr>
          <w:rFonts w:ascii="Garamond" w:hAnsi="Garamond" w:cs="Arial"/>
          <w:i/>
          <w:iCs/>
          <w:sz w:val="26"/>
          <w:szCs w:val="26"/>
          <w:u w:color="000000"/>
        </w:rPr>
        <w:t>Struttura di supporto</w:t>
      </w:r>
      <w:r w:rsidRPr="00615938">
        <w:rPr>
          <w:rFonts w:ascii="Garamond" w:hAnsi="Garamond" w:cs="Arial"/>
          <w:sz w:val="26"/>
          <w:szCs w:val="26"/>
          <w:u w:color="000000"/>
        </w:rPr>
        <w:t xml:space="preserve"> </w:t>
      </w:r>
      <w:r w:rsidR="007B45E9" w:rsidRPr="00615938">
        <w:rPr>
          <w:rFonts w:ascii="Garamond" w:hAnsi="Garamond" w:cs="Arial"/>
          <w:sz w:val="26"/>
          <w:szCs w:val="26"/>
          <w:u w:color="000000"/>
        </w:rPr>
        <w:t xml:space="preserve">ai sensi del </w:t>
      </w:r>
      <w:r w:rsidRPr="00615938">
        <w:rPr>
          <w:rFonts w:ascii="Garamond" w:hAnsi="Garamond" w:cs="Arial"/>
          <w:sz w:val="26"/>
          <w:szCs w:val="26"/>
          <w:u w:color="000000"/>
        </w:rPr>
        <w:t>Dlgs. n. 39/201</w:t>
      </w:r>
      <w:r w:rsidR="00D637E7" w:rsidRPr="00615938">
        <w:rPr>
          <w:rFonts w:ascii="Garamond" w:hAnsi="Garamond" w:cs="Arial"/>
          <w:sz w:val="26"/>
          <w:szCs w:val="26"/>
          <w:u w:color="000000"/>
        </w:rPr>
        <w:t>3</w:t>
      </w:r>
      <w:r w:rsidR="00FA0A02">
        <w:rPr>
          <w:rFonts w:ascii="Garamond" w:hAnsi="Garamond" w:cs="Arial"/>
          <w:sz w:val="26"/>
          <w:szCs w:val="26"/>
          <w:u w:color="000000"/>
        </w:rPr>
        <w:t>.</w:t>
      </w:r>
      <w:r w:rsidR="001D1814">
        <w:rPr>
          <w:rFonts w:ascii="Garamond" w:hAnsi="Garamond" w:cs="Arial"/>
          <w:sz w:val="26"/>
          <w:szCs w:val="26"/>
          <w:u w:color="000000"/>
        </w:rPr>
        <w:t xml:space="preserve"> </w:t>
      </w:r>
      <w:r w:rsidR="00CA3D68">
        <w:rPr>
          <w:rFonts w:ascii="Garamond" w:hAnsi="Garamond" w:cs="Arial"/>
          <w:sz w:val="26"/>
          <w:szCs w:val="26"/>
          <w:u w:color="000000"/>
        </w:rPr>
        <w:t xml:space="preserve">Tale </w:t>
      </w:r>
      <w:r w:rsidR="001D2616" w:rsidRPr="001D2616">
        <w:rPr>
          <w:rFonts w:ascii="Garamond" w:hAnsi="Garamond" w:cs="Arial"/>
          <w:i/>
          <w:iCs/>
          <w:sz w:val="26"/>
          <w:szCs w:val="26"/>
          <w:u w:color="000000"/>
        </w:rPr>
        <w:t>Struttura</w:t>
      </w:r>
      <w:r w:rsidRPr="00615938">
        <w:rPr>
          <w:rFonts w:ascii="Garamond" w:hAnsi="Garamond" w:cs="Arial"/>
          <w:sz w:val="26"/>
          <w:szCs w:val="26"/>
          <w:u w:color="000000"/>
        </w:rPr>
        <w:t xml:space="preserve"> </w:t>
      </w:r>
      <w:r w:rsidR="00D637E7" w:rsidRPr="00615938">
        <w:rPr>
          <w:rFonts w:ascii="Garamond" w:hAnsi="Garamond" w:cs="Arial"/>
          <w:sz w:val="26"/>
          <w:szCs w:val="26"/>
          <w:u w:color="000000"/>
        </w:rPr>
        <w:t>ha verificato,</w:t>
      </w:r>
      <w:r w:rsidRPr="00615938">
        <w:rPr>
          <w:rFonts w:ascii="Garamond" w:hAnsi="Garamond" w:cs="Arial"/>
          <w:sz w:val="26"/>
          <w:szCs w:val="26"/>
          <w:u w:color="000000"/>
        </w:rPr>
        <w:t xml:space="preserve"> nel corso del 2025</w:t>
      </w:r>
      <w:r w:rsidR="007B45E9" w:rsidRPr="00615938">
        <w:rPr>
          <w:rFonts w:ascii="Garamond" w:hAnsi="Garamond" w:cs="Arial"/>
          <w:sz w:val="26"/>
          <w:szCs w:val="26"/>
          <w:u w:color="000000"/>
        </w:rPr>
        <w:t xml:space="preserve"> - </w:t>
      </w:r>
      <w:r w:rsidRPr="00615938">
        <w:rPr>
          <w:rFonts w:ascii="Garamond" w:hAnsi="Garamond" w:cs="Arial"/>
          <w:sz w:val="26"/>
          <w:szCs w:val="26"/>
          <w:u w:color="000000"/>
        </w:rPr>
        <w:t>a seguito del conferimento di nove incarichi dirigenziali di livello non generale</w:t>
      </w:r>
      <w:r w:rsidR="007B45E9" w:rsidRPr="00615938">
        <w:rPr>
          <w:rFonts w:ascii="Garamond" w:hAnsi="Garamond" w:cs="Arial"/>
          <w:sz w:val="26"/>
          <w:szCs w:val="26"/>
          <w:u w:color="000000"/>
        </w:rPr>
        <w:t xml:space="preserve"> -</w:t>
      </w:r>
      <w:r w:rsidRPr="00615938">
        <w:rPr>
          <w:rFonts w:ascii="Garamond" w:hAnsi="Garamond" w:cs="Arial"/>
          <w:sz w:val="26"/>
          <w:szCs w:val="26"/>
          <w:u w:color="000000"/>
        </w:rPr>
        <w:t xml:space="preserve"> le opportune </w:t>
      </w:r>
      <w:r w:rsidR="00D637E7" w:rsidRPr="00615938">
        <w:rPr>
          <w:rFonts w:ascii="Garamond" w:hAnsi="Garamond" w:cs="Arial"/>
          <w:sz w:val="26"/>
          <w:szCs w:val="26"/>
          <w:u w:color="000000"/>
        </w:rPr>
        <w:t xml:space="preserve">le </w:t>
      </w:r>
      <w:r w:rsidRPr="00615938">
        <w:rPr>
          <w:rFonts w:ascii="Garamond" w:hAnsi="Garamond" w:cs="Arial"/>
          <w:sz w:val="26"/>
          <w:szCs w:val="26"/>
          <w:u w:color="000000"/>
        </w:rPr>
        <w:t>dichiarazioni di inconferibilità e incompatibilità trasmesse dall</w:t>
      </w:r>
      <w:r w:rsidR="007B45E9" w:rsidRPr="00615938">
        <w:rPr>
          <w:rFonts w:ascii="Garamond" w:hAnsi="Garamond" w:cs="Arial"/>
          <w:sz w:val="26"/>
          <w:szCs w:val="26"/>
          <w:u w:color="000000"/>
        </w:rPr>
        <w:t>’</w:t>
      </w:r>
      <w:r w:rsidRPr="00615938">
        <w:rPr>
          <w:rFonts w:ascii="Garamond" w:hAnsi="Garamond" w:cs="Arial"/>
          <w:sz w:val="26"/>
          <w:szCs w:val="26"/>
          <w:u w:color="000000"/>
        </w:rPr>
        <w:t xml:space="preserve">Ufficio </w:t>
      </w:r>
      <w:r w:rsidR="00D637E7" w:rsidRPr="00615938">
        <w:rPr>
          <w:rFonts w:ascii="Garamond" w:hAnsi="Garamond" w:cs="Arial"/>
          <w:i/>
          <w:iCs/>
          <w:sz w:val="26"/>
          <w:szCs w:val="26"/>
          <w:u w:color="000000"/>
        </w:rPr>
        <w:t xml:space="preserve">Gestione </w:t>
      </w:r>
      <w:r w:rsidRPr="00615938">
        <w:rPr>
          <w:rFonts w:ascii="Garamond" w:hAnsi="Garamond" w:cs="Arial"/>
          <w:i/>
          <w:iCs/>
          <w:sz w:val="26"/>
          <w:szCs w:val="26"/>
          <w:u w:color="000000"/>
        </w:rPr>
        <w:t>del personale</w:t>
      </w:r>
      <w:r w:rsidRPr="00615938">
        <w:rPr>
          <w:rFonts w:ascii="Garamond" w:hAnsi="Garamond" w:cs="Arial"/>
          <w:sz w:val="26"/>
          <w:szCs w:val="26"/>
          <w:u w:color="000000"/>
        </w:rPr>
        <w:t xml:space="preserve">. Inoltre, sono state verificate le dichiarazioni rese da due dirigenti ai quali sono stati conferiti rispettivamente un incarico di </w:t>
      </w:r>
      <w:r w:rsidRPr="00615938">
        <w:rPr>
          <w:rFonts w:ascii="Garamond" w:hAnsi="Garamond" w:cs="Arial"/>
          <w:i/>
          <w:iCs/>
          <w:sz w:val="26"/>
          <w:szCs w:val="26"/>
          <w:u w:color="000000"/>
        </w:rPr>
        <w:t>alta consulenza, studio e ricerca</w:t>
      </w:r>
      <w:r w:rsidRPr="00615938">
        <w:rPr>
          <w:rFonts w:ascii="Garamond" w:hAnsi="Garamond" w:cs="Arial"/>
          <w:sz w:val="26"/>
          <w:szCs w:val="26"/>
          <w:u w:color="000000"/>
        </w:rPr>
        <w:t xml:space="preserve"> e l’incarico di </w:t>
      </w:r>
      <w:r w:rsidR="007B45E9" w:rsidRPr="00615938">
        <w:rPr>
          <w:rFonts w:ascii="Garamond" w:hAnsi="Garamond" w:cs="Arial"/>
          <w:sz w:val="26"/>
          <w:szCs w:val="26"/>
          <w:u w:color="000000"/>
        </w:rPr>
        <w:t>direzione</w:t>
      </w:r>
      <w:r w:rsidRPr="00615938">
        <w:rPr>
          <w:rFonts w:ascii="Garamond" w:hAnsi="Garamond" w:cs="Arial"/>
          <w:sz w:val="26"/>
          <w:szCs w:val="26"/>
          <w:u w:color="000000"/>
        </w:rPr>
        <w:t xml:space="preserve"> </w:t>
      </w:r>
      <w:r w:rsidR="00D637E7" w:rsidRPr="00615938">
        <w:rPr>
          <w:rFonts w:ascii="Garamond" w:hAnsi="Garamond" w:cs="Arial"/>
          <w:sz w:val="26"/>
          <w:szCs w:val="26"/>
          <w:u w:color="000000"/>
        </w:rPr>
        <w:t xml:space="preserve">dei </w:t>
      </w:r>
      <w:r w:rsidR="00D637E7" w:rsidRPr="00615938">
        <w:rPr>
          <w:rFonts w:ascii="Garamond" w:hAnsi="Garamond" w:cs="Arial"/>
          <w:i/>
          <w:iCs/>
          <w:sz w:val="26"/>
          <w:szCs w:val="26"/>
          <w:u w:color="000000"/>
        </w:rPr>
        <w:t>S</w:t>
      </w:r>
      <w:r w:rsidRPr="00615938">
        <w:rPr>
          <w:rFonts w:ascii="Garamond" w:hAnsi="Garamond" w:cs="Arial"/>
          <w:i/>
          <w:iCs/>
          <w:sz w:val="26"/>
          <w:szCs w:val="26"/>
          <w:u w:color="000000"/>
        </w:rPr>
        <w:t xml:space="preserve">ervizi amministrativi. </w:t>
      </w:r>
    </w:p>
    <w:p w14:paraId="2AA9970F" w14:textId="77777777" w:rsidR="00D637E7" w:rsidRPr="00615938" w:rsidRDefault="0093556E" w:rsidP="001E1540">
      <w:pPr>
        <w:spacing w:after="80" w:line="276" w:lineRule="auto"/>
        <w:jc w:val="both"/>
        <w:rPr>
          <w:rFonts w:ascii="Garamond" w:hAnsi="Garamond" w:cs="Arial"/>
          <w:sz w:val="26"/>
          <w:szCs w:val="26"/>
          <w:u w:color="000000"/>
        </w:rPr>
      </w:pPr>
      <w:r w:rsidRPr="00615938">
        <w:rPr>
          <w:rFonts w:ascii="Garamond" w:hAnsi="Garamond" w:cs="Arial"/>
          <w:sz w:val="26"/>
          <w:szCs w:val="26"/>
          <w:u w:color="000000"/>
        </w:rPr>
        <w:t>L’ANAC</w:t>
      </w:r>
      <w:r w:rsidR="007B45E9" w:rsidRPr="00615938">
        <w:rPr>
          <w:rFonts w:ascii="Garamond" w:hAnsi="Garamond" w:cs="Arial"/>
          <w:sz w:val="26"/>
          <w:szCs w:val="26"/>
          <w:u w:color="000000"/>
        </w:rPr>
        <w:t>,</w:t>
      </w:r>
      <w:r w:rsidR="00DE35E2" w:rsidRPr="00615938">
        <w:rPr>
          <w:rFonts w:ascii="Garamond" w:hAnsi="Garamond" w:cs="Arial"/>
          <w:sz w:val="26"/>
          <w:szCs w:val="26"/>
          <w:u w:color="000000"/>
        </w:rPr>
        <w:t xml:space="preserve"> nel PNA 2025</w:t>
      </w:r>
      <w:r w:rsidR="007B45E9" w:rsidRPr="00615938">
        <w:rPr>
          <w:rFonts w:ascii="Garamond" w:hAnsi="Garamond" w:cs="Arial"/>
          <w:sz w:val="26"/>
          <w:szCs w:val="26"/>
          <w:u w:color="000000"/>
        </w:rPr>
        <w:t>,</w:t>
      </w:r>
      <w:r w:rsidR="00054334" w:rsidRPr="00615938">
        <w:rPr>
          <w:rFonts w:ascii="Garamond" w:hAnsi="Garamond" w:cs="Arial"/>
          <w:sz w:val="26"/>
          <w:szCs w:val="26"/>
          <w:u w:color="000000"/>
        </w:rPr>
        <w:t xml:space="preserve"> ha dedicato un apposito approfondimento </w:t>
      </w:r>
      <w:r w:rsidRPr="00615938">
        <w:rPr>
          <w:rFonts w:ascii="Garamond" w:hAnsi="Garamond" w:cs="Arial"/>
          <w:sz w:val="26"/>
          <w:szCs w:val="26"/>
          <w:u w:color="000000"/>
        </w:rPr>
        <w:t xml:space="preserve">alle ipotesi di </w:t>
      </w:r>
      <w:r w:rsidR="00F70579" w:rsidRPr="00615938">
        <w:rPr>
          <w:rFonts w:ascii="Garamond" w:hAnsi="Garamond" w:cs="Arial"/>
          <w:i/>
          <w:iCs/>
          <w:sz w:val="26"/>
          <w:szCs w:val="26"/>
          <w:u w:color="000000"/>
        </w:rPr>
        <w:t>inconferibilità e incompatibilità</w:t>
      </w:r>
      <w:r w:rsidR="005504FD" w:rsidRPr="00615938">
        <w:rPr>
          <w:rFonts w:ascii="Garamond" w:hAnsi="Garamond" w:cs="Arial"/>
          <w:sz w:val="26"/>
          <w:szCs w:val="26"/>
          <w:u w:color="000000"/>
        </w:rPr>
        <w:t xml:space="preserve"> </w:t>
      </w:r>
      <w:r w:rsidR="00F70579" w:rsidRPr="00615938">
        <w:rPr>
          <w:rFonts w:ascii="Garamond" w:hAnsi="Garamond" w:cs="Arial"/>
          <w:sz w:val="26"/>
          <w:szCs w:val="26"/>
          <w:u w:color="000000"/>
        </w:rPr>
        <w:t>in seguito alle recenti modifiche normative intervenute</w:t>
      </w:r>
      <w:r w:rsidR="00EA70A8" w:rsidRPr="00615938">
        <w:rPr>
          <w:rFonts w:ascii="Garamond" w:hAnsi="Garamond" w:cs="Arial"/>
          <w:sz w:val="26"/>
          <w:szCs w:val="26"/>
          <w:u w:color="000000"/>
        </w:rPr>
        <w:t>.</w:t>
      </w:r>
      <w:r w:rsidR="001052F8" w:rsidRPr="00615938">
        <w:rPr>
          <w:rFonts w:ascii="Garamond" w:hAnsi="Garamond" w:cs="Arial"/>
          <w:sz w:val="26"/>
          <w:szCs w:val="26"/>
          <w:u w:color="000000"/>
        </w:rPr>
        <w:t xml:space="preserve"> </w:t>
      </w:r>
    </w:p>
    <w:p w14:paraId="6C3B96B4" w14:textId="08A150D7" w:rsidR="007376EF" w:rsidRPr="00615938" w:rsidRDefault="001052F8" w:rsidP="001E1540">
      <w:pPr>
        <w:spacing w:after="80" w:line="276" w:lineRule="auto"/>
        <w:jc w:val="both"/>
        <w:rPr>
          <w:rFonts w:ascii="Garamond" w:hAnsi="Garamond" w:cs="Arial"/>
          <w:sz w:val="26"/>
          <w:szCs w:val="26"/>
          <w:u w:color="000000"/>
        </w:rPr>
      </w:pPr>
      <w:r w:rsidRPr="00615938">
        <w:rPr>
          <w:rFonts w:ascii="Garamond" w:hAnsi="Garamond" w:cs="Arial"/>
          <w:sz w:val="26"/>
          <w:szCs w:val="26"/>
          <w:u w:color="000000"/>
        </w:rPr>
        <w:t>Si ritiene opportuno in questa sede</w:t>
      </w:r>
      <w:r w:rsidR="00496811" w:rsidRPr="00615938">
        <w:rPr>
          <w:rFonts w:ascii="Garamond" w:hAnsi="Garamond" w:cs="Arial"/>
          <w:sz w:val="26"/>
          <w:szCs w:val="26"/>
          <w:u w:color="000000"/>
        </w:rPr>
        <w:t>, in particolare,</w:t>
      </w:r>
      <w:r w:rsidRPr="00615938">
        <w:rPr>
          <w:rFonts w:ascii="Garamond" w:hAnsi="Garamond" w:cs="Arial"/>
          <w:sz w:val="26"/>
          <w:szCs w:val="26"/>
          <w:u w:color="000000"/>
        </w:rPr>
        <w:t xml:space="preserve"> indicare</w:t>
      </w:r>
      <w:r w:rsidR="00290E34" w:rsidRPr="00615938">
        <w:rPr>
          <w:rFonts w:ascii="Garamond" w:hAnsi="Garamond" w:cs="Arial"/>
          <w:sz w:val="26"/>
          <w:szCs w:val="26"/>
          <w:u w:color="000000"/>
        </w:rPr>
        <w:t xml:space="preserve"> le</w:t>
      </w:r>
      <w:r w:rsidRPr="00615938">
        <w:rPr>
          <w:rFonts w:ascii="Garamond" w:hAnsi="Garamond" w:cs="Arial"/>
          <w:sz w:val="26"/>
          <w:szCs w:val="26"/>
          <w:u w:color="000000"/>
        </w:rPr>
        <w:t xml:space="preserve"> novità introdotte dal</w:t>
      </w:r>
      <w:r w:rsidR="000D7F64" w:rsidRPr="00615938">
        <w:rPr>
          <w:rFonts w:ascii="Garamond" w:hAnsi="Garamond" w:cs="Arial"/>
          <w:sz w:val="26"/>
          <w:szCs w:val="26"/>
          <w:u w:color="000000"/>
        </w:rPr>
        <w:t xml:space="preserve">la </w:t>
      </w:r>
      <w:r w:rsidR="00013906" w:rsidRPr="00615938">
        <w:rPr>
          <w:rFonts w:ascii="Garamond" w:hAnsi="Garamond" w:cs="Arial"/>
          <w:sz w:val="26"/>
          <w:szCs w:val="26"/>
          <w:u w:color="000000"/>
        </w:rPr>
        <w:t xml:space="preserve">recente </w:t>
      </w:r>
      <w:r w:rsidR="000D7F64" w:rsidRPr="00615938">
        <w:rPr>
          <w:rFonts w:ascii="Garamond" w:hAnsi="Garamond" w:cs="Arial"/>
          <w:sz w:val="26"/>
          <w:szCs w:val="26"/>
          <w:u w:color="000000"/>
        </w:rPr>
        <w:t xml:space="preserve">legge </w:t>
      </w:r>
      <w:r w:rsidR="000432B8" w:rsidRPr="00615938">
        <w:rPr>
          <w:rFonts w:ascii="Garamond" w:hAnsi="Garamond" w:cs="Arial"/>
          <w:sz w:val="26"/>
          <w:szCs w:val="26"/>
          <w:u w:color="000000"/>
        </w:rPr>
        <w:t xml:space="preserve">n. 21/2024 </w:t>
      </w:r>
      <w:r w:rsidR="006550EE" w:rsidRPr="00615938">
        <w:rPr>
          <w:rFonts w:ascii="Garamond" w:hAnsi="Garamond" w:cs="Arial"/>
          <w:sz w:val="26"/>
          <w:szCs w:val="26"/>
          <w:u w:color="000000"/>
        </w:rPr>
        <w:t xml:space="preserve">che </w:t>
      </w:r>
      <w:r w:rsidR="002E4FAB" w:rsidRPr="00615938">
        <w:rPr>
          <w:rFonts w:ascii="Garamond" w:hAnsi="Garamond" w:cs="Arial"/>
          <w:sz w:val="26"/>
          <w:szCs w:val="26"/>
          <w:u w:color="000000"/>
        </w:rPr>
        <w:t xml:space="preserve">ha </w:t>
      </w:r>
      <w:r w:rsidR="00931D8E" w:rsidRPr="00615938">
        <w:rPr>
          <w:rFonts w:ascii="Garamond" w:hAnsi="Garamond" w:cs="Arial"/>
          <w:sz w:val="26"/>
          <w:szCs w:val="26"/>
          <w:u w:color="000000"/>
        </w:rPr>
        <w:t>riformulato l’art. 4 del Dlgs. n. 39/2013</w:t>
      </w:r>
      <w:r w:rsidR="00290E34" w:rsidRPr="00615938">
        <w:rPr>
          <w:rFonts w:ascii="Garamond" w:hAnsi="Garamond" w:cs="Arial"/>
          <w:sz w:val="26"/>
          <w:szCs w:val="26"/>
          <w:u w:color="000000"/>
        </w:rPr>
        <w:t xml:space="preserve"> e </w:t>
      </w:r>
      <w:r w:rsidR="00D637E7" w:rsidRPr="00615938">
        <w:rPr>
          <w:rFonts w:ascii="Garamond" w:hAnsi="Garamond" w:cs="Arial"/>
          <w:sz w:val="26"/>
          <w:szCs w:val="26"/>
          <w:u w:color="000000"/>
        </w:rPr>
        <w:t>dal</w:t>
      </w:r>
      <w:r w:rsidR="00B87F37" w:rsidRPr="00615938">
        <w:rPr>
          <w:rFonts w:ascii="Garamond" w:hAnsi="Garamond" w:cs="Arial"/>
          <w:sz w:val="26"/>
          <w:szCs w:val="26"/>
          <w:u w:color="000000"/>
        </w:rPr>
        <w:t xml:space="preserve">la </w:t>
      </w:r>
      <w:r w:rsidR="007B45E9" w:rsidRPr="00615938">
        <w:rPr>
          <w:rFonts w:ascii="Garamond" w:hAnsi="Garamond" w:cs="Arial"/>
          <w:sz w:val="26"/>
          <w:szCs w:val="26"/>
          <w:u w:color="000000"/>
        </w:rPr>
        <w:t xml:space="preserve">L. </w:t>
      </w:r>
      <w:r w:rsidR="00B87F37" w:rsidRPr="00615938">
        <w:rPr>
          <w:rFonts w:ascii="Garamond" w:hAnsi="Garamond" w:cs="Arial"/>
          <w:sz w:val="26"/>
          <w:szCs w:val="26"/>
          <w:u w:color="000000"/>
        </w:rPr>
        <w:t xml:space="preserve">n. 25/2025 che </w:t>
      </w:r>
      <w:r w:rsidR="00D30640" w:rsidRPr="00615938">
        <w:rPr>
          <w:rFonts w:ascii="Garamond" w:hAnsi="Garamond" w:cs="Arial"/>
          <w:sz w:val="26"/>
          <w:szCs w:val="26"/>
          <w:u w:color="000000"/>
        </w:rPr>
        <w:t xml:space="preserve">è intervenuta sulle fattispecie </w:t>
      </w:r>
      <w:r w:rsidR="008C3F5B" w:rsidRPr="00615938">
        <w:rPr>
          <w:rFonts w:ascii="Garamond" w:hAnsi="Garamond" w:cs="Arial"/>
          <w:sz w:val="26"/>
          <w:szCs w:val="26"/>
          <w:u w:color="000000"/>
        </w:rPr>
        <w:t xml:space="preserve">ex </w:t>
      </w:r>
      <w:r w:rsidR="00D30640" w:rsidRPr="00615938">
        <w:rPr>
          <w:rFonts w:ascii="Garamond" w:hAnsi="Garamond" w:cs="Arial"/>
          <w:sz w:val="26"/>
          <w:szCs w:val="26"/>
          <w:u w:color="000000"/>
        </w:rPr>
        <w:t>art. 12</w:t>
      </w:r>
      <w:r w:rsidR="007B45E9" w:rsidRPr="00615938">
        <w:rPr>
          <w:rFonts w:ascii="Garamond" w:hAnsi="Garamond" w:cs="Arial"/>
          <w:sz w:val="26"/>
          <w:szCs w:val="26"/>
          <w:u w:color="000000"/>
        </w:rPr>
        <w:t xml:space="preserve"> </w:t>
      </w:r>
      <w:r w:rsidR="00D30640" w:rsidRPr="00615938">
        <w:rPr>
          <w:rFonts w:ascii="Garamond" w:hAnsi="Garamond" w:cs="Arial"/>
          <w:sz w:val="26"/>
          <w:szCs w:val="26"/>
          <w:u w:color="000000"/>
        </w:rPr>
        <w:t>bis</w:t>
      </w:r>
      <w:r w:rsidR="008C3F5B" w:rsidRPr="00615938">
        <w:rPr>
          <w:rFonts w:ascii="Garamond" w:hAnsi="Garamond" w:cs="Arial"/>
          <w:sz w:val="26"/>
          <w:szCs w:val="26"/>
          <w:u w:color="000000"/>
        </w:rPr>
        <w:t>.</w:t>
      </w:r>
    </w:p>
    <w:p w14:paraId="1F1A0D12" w14:textId="3434618F" w:rsidR="000540FF" w:rsidRPr="00615938" w:rsidRDefault="001F3B66" w:rsidP="001E1540">
      <w:pPr>
        <w:spacing w:after="80" w:line="276" w:lineRule="auto"/>
        <w:jc w:val="both"/>
        <w:rPr>
          <w:rFonts w:ascii="Garamond" w:hAnsi="Garamond" w:cs="Arial"/>
          <w:sz w:val="26"/>
          <w:szCs w:val="26"/>
          <w:u w:color="000000"/>
        </w:rPr>
      </w:pPr>
      <w:r w:rsidRPr="00615938">
        <w:rPr>
          <w:rFonts w:ascii="Garamond" w:hAnsi="Garamond" w:cs="Arial"/>
          <w:sz w:val="26"/>
          <w:szCs w:val="26"/>
          <w:u w:color="000000"/>
        </w:rPr>
        <w:t>La prima importante modifica riguarda l</w:t>
      </w:r>
      <w:r w:rsidR="00254F09" w:rsidRPr="00615938">
        <w:rPr>
          <w:rFonts w:ascii="Garamond" w:hAnsi="Garamond" w:cs="Arial"/>
          <w:sz w:val="26"/>
          <w:szCs w:val="26"/>
          <w:u w:color="000000"/>
        </w:rPr>
        <w:t xml:space="preserve">’art. 4 </w:t>
      </w:r>
      <w:r w:rsidR="00BC3BB0" w:rsidRPr="00615938">
        <w:rPr>
          <w:rFonts w:ascii="Garamond" w:hAnsi="Garamond" w:cs="Arial"/>
          <w:i/>
          <w:iCs/>
          <w:sz w:val="26"/>
          <w:szCs w:val="26"/>
          <w:u w:color="000000"/>
        </w:rPr>
        <w:t>Inconferibilità di incarichi nelle amministrazioni statal</w:t>
      </w:r>
      <w:r w:rsidR="004624C7" w:rsidRPr="00615938">
        <w:rPr>
          <w:rFonts w:ascii="Garamond" w:hAnsi="Garamond" w:cs="Arial"/>
          <w:i/>
          <w:iCs/>
          <w:sz w:val="26"/>
          <w:szCs w:val="26"/>
          <w:u w:color="000000"/>
        </w:rPr>
        <w:t>i, regionali e locali a soggetti provenienti da enti di diritto privato</w:t>
      </w:r>
      <w:r w:rsidR="0035739A" w:rsidRPr="00615938">
        <w:rPr>
          <w:rFonts w:ascii="Garamond" w:hAnsi="Garamond" w:cs="Arial"/>
          <w:i/>
          <w:iCs/>
          <w:sz w:val="26"/>
          <w:szCs w:val="26"/>
          <w:u w:color="000000"/>
        </w:rPr>
        <w:t xml:space="preserve"> regolati o</w:t>
      </w:r>
      <w:r w:rsidRPr="00615938">
        <w:rPr>
          <w:rFonts w:ascii="Garamond" w:hAnsi="Garamond" w:cs="Arial"/>
          <w:i/>
          <w:iCs/>
          <w:sz w:val="26"/>
          <w:szCs w:val="26"/>
          <w:u w:color="000000"/>
        </w:rPr>
        <w:t xml:space="preserve"> </w:t>
      </w:r>
      <w:r w:rsidR="0035739A" w:rsidRPr="00615938">
        <w:rPr>
          <w:rFonts w:ascii="Garamond" w:hAnsi="Garamond" w:cs="Arial"/>
          <w:i/>
          <w:iCs/>
          <w:sz w:val="26"/>
          <w:szCs w:val="26"/>
          <w:u w:color="000000"/>
        </w:rPr>
        <w:t>finanziati</w:t>
      </w:r>
      <w:r w:rsidR="0035739A" w:rsidRPr="00615938">
        <w:rPr>
          <w:rFonts w:ascii="Garamond" w:hAnsi="Garamond" w:cs="Arial"/>
          <w:sz w:val="26"/>
          <w:szCs w:val="26"/>
          <w:u w:color="000000"/>
        </w:rPr>
        <w:t xml:space="preserve"> </w:t>
      </w:r>
      <w:r w:rsidR="00DD56CB" w:rsidRPr="00615938">
        <w:rPr>
          <w:rFonts w:ascii="Garamond" w:hAnsi="Garamond" w:cs="Arial"/>
          <w:sz w:val="26"/>
          <w:szCs w:val="26"/>
          <w:u w:color="000000"/>
        </w:rPr>
        <w:t xml:space="preserve">che </w:t>
      </w:r>
      <w:r w:rsidR="009D5A25" w:rsidRPr="00615938">
        <w:rPr>
          <w:rFonts w:ascii="Garamond" w:hAnsi="Garamond" w:cs="Arial"/>
          <w:sz w:val="26"/>
          <w:szCs w:val="26"/>
          <w:u w:color="000000"/>
        </w:rPr>
        <w:t>stabilisce</w:t>
      </w:r>
      <w:r w:rsidR="004559DE" w:rsidRPr="00615938">
        <w:rPr>
          <w:rFonts w:ascii="Garamond" w:hAnsi="Garamond" w:cs="Arial"/>
          <w:sz w:val="26"/>
          <w:szCs w:val="26"/>
          <w:u w:color="000000"/>
        </w:rPr>
        <w:t xml:space="preserve"> il divieto di conferire incarichi nelle pubbliche amministrazioni e negli enti pubblici a soggetti provenienti da </w:t>
      </w:r>
      <w:r w:rsidR="004559DE" w:rsidRPr="00615938">
        <w:rPr>
          <w:rFonts w:ascii="Garamond" w:hAnsi="Garamond" w:cs="Arial"/>
          <w:sz w:val="26"/>
          <w:szCs w:val="26"/>
          <w:u w:color="000000"/>
        </w:rPr>
        <w:lastRenderedPageBreak/>
        <w:t>enti di diritto privato regolati o finanziati</w:t>
      </w:r>
      <w:r w:rsidR="007B45E9" w:rsidRPr="00615938">
        <w:rPr>
          <w:rFonts w:ascii="Garamond" w:hAnsi="Garamond" w:cs="Arial"/>
          <w:sz w:val="26"/>
          <w:szCs w:val="26"/>
          <w:u w:color="000000"/>
        </w:rPr>
        <w:t>,</w:t>
      </w:r>
      <w:r w:rsidR="004559DE" w:rsidRPr="00615938">
        <w:rPr>
          <w:rFonts w:ascii="Garamond" w:hAnsi="Garamond" w:cs="Arial"/>
          <w:sz w:val="26"/>
          <w:szCs w:val="26"/>
          <w:u w:color="000000"/>
        </w:rPr>
        <w:t xml:space="preserve"> ovvero a soggetti che abbiano svolto in proprio attività professionali</w:t>
      </w:r>
      <w:r w:rsidR="007B45E9" w:rsidRPr="00615938">
        <w:rPr>
          <w:rFonts w:ascii="Garamond" w:hAnsi="Garamond" w:cs="Arial"/>
          <w:sz w:val="26"/>
          <w:szCs w:val="26"/>
          <w:u w:color="000000"/>
        </w:rPr>
        <w:t>,</w:t>
      </w:r>
      <w:r w:rsidR="004559DE" w:rsidRPr="00615938">
        <w:rPr>
          <w:rFonts w:ascii="Garamond" w:hAnsi="Garamond" w:cs="Arial"/>
          <w:sz w:val="26"/>
          <w:szCs w:val="26"/>
          <w:u w:color="000000"/>
        </w:rPr>
        <w:t xml:space="preserve"> se regolate o finanziate dall’ente conferente</w:t>
      </w:r>
      <w:r w:rsidR="005E71CB" w:rsidRPr="00615938">
        <w:rPr>
          <w:rFonts w:ascii="Garamond" w:hAnsi="Garamond" w:cs="Arial"/>
          <w:sz w:val="26"/>
          <w:szCs w:val="26"/>
          <w:u w:color="000000"/>
        </w:rPr>
        <w:t xml:space="preserve">. </w:t>
      </w:r>
    </w:p>
    <w:p w14:paraId="63F3499B" w14:textId="2FA70E8A" w:rsidR="00827138" w:rsidRPr="00615938" w:rsidRDefault="00C874F5" w:rsidP="001E1540">
      <w:pPr>
        <w:spacing w:after="80" w:line="276" w:lineRule="auto"/>
        <w:jc w:val="both"/>
        <w:rPr>
          <w:rFonts w:ascii="Garamond" w:hAnsi="Garamond" w:cs="Arial"/>
          <w:sz w:val="26"/>
          <w:szCs w:val="26"/>
          <w:u w:color="000000"/>
        </w:rPr>
      </w:pPr>
      <w:r w:rsidRPr="00615938">
        <w:rPr>
          <w:rFonts w:ascii="Garamond" w:hAnsi="Garamond" w:cs="Arial"/>
          <w:sz w:val="26"/>
          <w:szCs w:val="26"/>
          <w:u w:color="000000"/>
        </w:rPr>
        <w:t xml:space="preserve">Il legislatore ha da un lato ridotto il </w:t>
      </w:r>
      <w:r w:rsidR="00B83F99" w:rsidRPr="00615938">
        <w:rPr>
          <w:rFonts w:ascii="Garamond" w:hAnsi="Garamond" w:cs="Arial"/>
          <w:sz w:val="26"/>
          <w:szCs w:val="26"/>
          <w:u w:color="000000"/>
        </w:rPr>
        <w:t xml:space="preserve">cd. </w:t>
      </w:r>
      <w:r w:rsidR="00B83F99" w:rsidRPr="00615938">
        <w:rPr>
          <w:rFonts w:ascii="Garamond" w:hAnsi="Garamond" w:cs="Arial"/>
          <w:i/>
          <w:iCs/>
          <w:sz w:val="26"/>
          <w:szCs w:val="26"/>
          <w:u w:color="000000"/>
        </w:rPr>
        <w:t>periodo di raffreddamento</w:t>
      </w:r>
      <w:r w:rsidR="00B83F99" w:rsidRPr="00615938">
        <w:rPr>
          <w:rFonts w:ascii="Garamond" w:hAnsi="Garamond" w:cs="Arial"/>
          <w:sz w:val="26"/>
          <w:szCs w:val="26"/>
          <w:u w:color="000000"/>
        </w:rPr>
        <w:t xml:space="preserve">, riducendolo da due ad un anno </w:t>
      </w:r>
      <w:r w:rsidR="00A27D5E" w:rsidRPr="00615938">
        <w:rPr>
          <w:rFonts w:ascii="Garamond" w:hAnsi="Garamond" w:cs="Arial"/>
          <w:sz w:val="26"/>
          <w:szCs w:val="26"/>
          <w:u w:color="000000"/>
        </w:rPr>
        <w:t>e dall’altro</w:t>
      </w:r>
      <w:r w:rsidR="007B45E9" w:rsidRPr="00615938">
        <w:rPr>
          <w:rFonts w:ascii="Garamond" w:hAnsi="Garamond" w:cs="Arial"/>
          <w:sz w:val="26"/>
          <w:szCs w:val="26"/>
          <w:u w:color="000000"/>
        </w:rPr>
        <w:t>,</w:t>
      </w:r>
      <w:r w:rsidR="00A27D5E" w:rsidRPr="00615938">
        <w:rPr>
          <w:rFonts w:ascii="Garamond" w:hAnsi="Garamond" w:cs="Arial"/>
          <w:sz w:val="26"/>
          <w:szCs w:val="26"/>
          <w:u w:color="000000"/>
        </w:rPr>
        <w:t xml:space="preserve"> ha introdotto un nuovo </w:t>
      </w:r>
      <w:r w:rsidR="00A27D5E" w:rsidRPr="00615938">
        <w:rPr>
          <w:rFonts w:ascii="Garamond" w:hAnsi="Garamond" w:cs="Arial"/>
          <w:i/>
          <w:iCs/>
          <w:sz w:val="26"/>
          <w:szCs w:val="26"/>
          <w:u w:color="000000"/>
        </w:rPr>
        <w:t>c</w:t>
      </w:r>
      <w:r w:rsidR="007B45E9" w:rsidRPr="00615938">
        <w:rPr>
          <w:rFonts w:ascii="Garamond" w:hAnsi="Garamond" w:cs="Arial"/>
          <w:i/>
          <w:iCs/>
          <w:sz w:val="26"/>
          <w:szCs w:val="26"/>
          <w:u w:color="000000"/>
        </w:rPr>
        <w:t>omma</w:t>
      </w:r>
      <w:r w:rsidR="00A27D5E" w:rsidRPr="00615938">
        <w:rPr>
          <w:rFonts w:ascii="Garamond" w:hAnsi="Garamond" w:cs="Arial"/>
          <w:i/>
          <w:iCs/>
          <w:sz w:val="26"/>
          <w:szCs w:val="26"/>
          <w:u w:color="000000"/>
        </w:rPr>
        <w:t xml:space="preserve"> 1</w:t>
      </w:r>
      <w:r w:rsidR="007B45E9" w:rsidRPr="00615938">
        <w:rPr>
          <w:rFonts w:ascii="Garamond" w:hAnsi="Garamond" w:cs="Arial"/>
          <w:i/>
          <w:iCs/>
          <w:sz w:val="26"/>
          <w:szCs w:val="26"/>
          <w:u w:color="000000"/>
        </w:rPr>
        <w:t xml:space="preserve"> </w:t>
      </w:r>
      <w:r w:rsidR="00A27D5E" w:rsidRPr="00615938">
        <w:rPr>
          <w:rFonts w:ascii="Garamond" w:hAnsi="Garamond" w:cs="Arial"/>
          <w:i/>
          <w:iCs/>
          <w:sz w:val="26"/>
          <w:szCs w:val="26"/>
          <w:u w:color="000000"/>
        </w:rPr>
        <w:t>bis</w:t>
      </w:r>
      <w:r w:rsidR="00A27D5E" w:rsidRPr="00615938">
        <w:rPr>
          <w:rFonts w:ascii="Garamond" w:hAnsi="Garamond" w:cs="Arial"/>
          <w:sz w:val="26"/>
          <w:szCs w:val="26"/>
          <w:u w:color="000000"/>
        </w:rPr>
        <w:t xml:space="preserve"> prevedendo una causa </w:t>
      </w:r>
      <w:r w:rsidR="00216F77" w:rsidRPr="00615938">
        <w:rPr>
          <w:rFonts w:ascii="Garamond" w:hAnsi="Garamond" w:cs="Arial"/>
          <w:sz w:val="26"/>
          <w:szCs w:val="26"/>
          <w:u w:color="000000"/>
        </w:rPr>
        <w:t xml:space="preserve">espressa </w:t>
      </w:r>
      <w:r w:rsidR="005D70A8" w:rsidRPr="00615938">
        <w:rPr>
          <w:rFonts w:ascii="Garamond" w:hAnsi="Garamond" w:cs="Arial"/>
          <w:sz w:val="26"/>
          <w:szCs w:val="26"/>
          <w:u w:color="000000"/>
        </w:rPr>
        <w:t xml:space="preserve">e tipizzata </w:t>
      </w:r>
      <w:r w:rsidR="00A27D5E" w:rsidRPr="00615938">
        <w:rPr>
          <w:rFonts w:ascii="Garamond" w:hAnsi="Garamond" w:cs="Arial"/>
          <w:sz w:val="26"/>
          <w:szCs w:val="26"/>
          <w:u w:color="000000"/>
        </w:rPr>
        <w:t>di esclusione dell’</w:t>
      </w:r>
      <w:r w:rsidR="00A27D5E" w:rsidRPr="00615938">
        <w:rPr>
          <w:rFonts w:ascii="Garamond" w:hAnsi="Garamond" w:cs="Arial"/>
          <w:i/>
          <w:iCs/>
          <w:sz w:val="26"/>
          <w:szCs w:val="26"/>
          <w:u w:color="000000"/>
        </w:rPr>
        <w:t>inconferibilità</w:t>
      </w:r>
      <w:r w:rsidR="003B6904" w:rsidRPr="00615938">
        <w:rPr>
          <w:rFonts w:ascii="Garamond" w:hAnsi="Garamond" w:cs="Arial"/>
          <w:sz w:val="26"/>
          <w:szCs w:val="26"/>
          <w:u w:color="000000"/>
        </w:rPr>
        <w:t xml:space="preserve"> al ricorrere di tre presupposti: </w:t>
      </w:r>
      <w:r w:rsidR="00D46132" w:rsidRPr="00615938">
        <w:rPr>
          <w:rFonts w:ascii="Garamond" w:hAnsi="Garamond" w:cs="Arial"/>
          <w:sz w:val="26"/>
          <w:szCs w:val="26"/>
          <w:u w:color="000000"/>
        </w:rPr>
        <w:t xml:space="preserve">l’incarico, carica o attività professionale </w:t>
      </w:r>
      <w:r w:rsidR="00AC36CC" w:rsidRPr="00615938">
        <w:rPr>
          <w:rFonts w:ascii="Garamond" w:hAnsi="Garamond" w:cs="Arial"/>
          <w:sz w:val="26"/>
          <w:szCs w:val="26"/>
          <w:u w:color="000000"/>
        </w:rPr>
        <w:t xml:space="preserve">deve aver avuto carattere </w:t>
      </w:r>
      <w:r w:rsidR="00AC36CC" w:rsidRPr="00615938">
        <w:rPr>
          <w:rFonts w:ascii="Garamond" w:hAnsi="Garamond" w:cs="Arial"/>
          <w:i/>
          <w:iCs/>
          <w:sz w:val="26"/>
          <w:szCs w:val="26"/>
          <w:u w:color="000000"/>
        </w:rPr>
        <w:t>occasionale</w:t>
      </w:r>
      <w:r w:rsidR="00AC36CC" w:rsidRPr="00615938">
        <w:rPr>
          <w:rFonts w:ascii="Garamond" w:hAnsi="Garamond" w:cs="Arial"/>
          <w:sz w:val="26"/>
          <w:szCs w:val="26"/>
          <w:u w:color="000000"/>
        </w:rPr>
        <w:t xml:space="preserve"> o </w:t>
      </w:r>
      <w:r w:rsidR="00AC36CC" w:rsidRPr="00615938">
        <w:rPr>
          <w:rFonts w:ascii="Garamond" w:hAnsi="Garamond" w:cs="Arial"/>
          <w:i/>
          <w:iCs/>
          <w:sz w:val="26"/>
          <w:szCs w:val="26"/>
          <w:u w:color="000000"/>
        </w:rPr>
        <w:t>non esecutivo</w:t>
      </w:r>
      <w:r w:rsidR="00AC36CC" w:rsidRPr="00615938">
        <w:rPr>
          <w:rFonts w:ascii="Garamond" w:hAnsi="Garamond" w:cs="Arial"/>
          <w:sz w:val="26"/>
          <w:szCs w:val="26"/>
          <w:u w:color="000000"/>
        </w:rPr>
        <w:t xml:space="preserve"> o di </w:t>
      </w:r>
      <w:r w:rsidR="00AC36CC" w:rsidRPr="00615938">
        <w:rPr>
          <w:rFonts w:ascii="Garamond" w:hAnsi="Garamond" w:cs="Arial"/>
          <w:i/>
          <w:iCs/>
          <w:sz w:val="26"/>
          <w:szCs w:val="26"/>
          <w:u w:color="000000"/>
        </w:rPr>
        <w:t>controllo</w:t>
      </w:r>
      <w:r w:rsidR="00AC36CC" w:rsidRPr="00615938">
        <w:rPr>
          <w:rFonts w:ascii="Garamond" w:hAnsi="Garamond" w:cs="Arial"/>
          <w:sz w:val="26"/>
          <w:szCs w:val="26"/>
          <w:u w:color="000000"/>
        </w:rPr>
        <w:t>.</w:t>
      </w:r>
      <w:r w:rsidR="000518F8" w:rsidRPr="00615938">
        <w:rPr>
          <w:rFonts w:ascii="Garamond" w:hAnsi="Garamond" w:cs="Arial"/>
          <w:sz w:val="26"/>
          <w:szCs w:val="26"/>
          <w:u w:color="000000"/>
        </w:rPr>
        <w:t xml:space="preserve"> Inoltre, ha precisato che</w:t>
      </w:r>
      <w:r w:rsidR="00F4319B" w:rsidRPr="00615938">
        <w:rPr>
          <w:rFonts w:ascii="Garamond" w:hAnsi="Garamond" w:cs="Arial"/>
          <w:sz w:val="26"/>
          <w:szCs w:val="26"/>
          <w:u w:color="000000"/>
        </w:rPr>
        <w:t>,</w:t>
      </w:r>
      <w:r w:rsidR="000518F8" w:rsidRPr="00615938">
        <w:rPr>
          <w:rFonts w:ascii="Garamond" w:hAnsi="Garamond" w:cs="Arial"/>
          <w:sz w:val="26"/>
          <w:szCs w:val="26"/>
          <w:u w:color="000000"/>
        </w:rPr>
        <w:t xml:space="preserve"> qualora </w:t>
      </w:r>
      <w:r w:rsidR="00D508AB" w:rsidRPr="00615938">
        <w:rPr>
          <w:rFonts w:ascii="Garamond" w:hAnsi="Garamond" w:cs="Arial"/>
          <w:sz w:val="26"/>
          <w:szCs w:val="26"/>
          <w:u w:color="000000"/>
        </w:rPr>
        <w:t xml:space="preserve">sia possibile escludere l’inconferibilità per uno dei </w:t>
      </w:r>
      <w:r w:rsidR="00B64851" w:rsidRPr="00615938">
        <w:rPr>
          <w:rFonts w:ascii="Garamond" w:hAnsi="Garamond" w:cs="Arial"/>
          <w:sz w:val="26"/>
          <w:szCs w:val="26"/>
          <w:u w:color="000000"/>
        </w:rPr>
        <w:t>predetti</w:t>
      </w:r>
      <w:r w:rsidR="003C7435" w:rsidRPr="00615938">
        <w:rPr>
          <w:rFonts w:ascii="Garamond" w:hAnsi="Garamond" w:cs="Arial"/>
          <w:sz w:val="26"/>
          <w:szCs w:val="26"/>
          <w:u w:color="000000"/>
        </w:rPr>
        <w:t xml:space="preserve"> motivi, è necessario che </w:t>
      </w:r>
      <w:r w:rsidR="007F4524" w:rsidRPr="00615938">
        <w:rPr>
          <w:rFonts w:ascii="Garamond" w:hAnsi="Garamond" w:cs="Arial"/>
          <w:sz w:val="26"/>
          <w:szCs w:val="26"/>
          <w:u w:color="000000"/>
        </w:rPr>
        <w:t xml:space="preserve">l’Amministrazione </w:t>
      </w:r>
      <w:r w:rsidR="003E375F" w:rsidRPr="00615938">
        <w:rPr>
          <w:rFonts w:ascii="Garamond" w:hAnsi="Garamond" w:cs="Arial"/>
          <w:sz w:val="26"/>
          <w:szCs w:val="26"/>
          <w:u w:color="000000"/>
        </w:rPr>
        <w:t>adotti presidi organizzativi e di trasparenza per gestire potenziali conflitti d’interesse.</w:t>
      </w:r>
      <w:r w:rsidR="00855C94" w:rsidRPr="00615938">
        <w:rPr>
          <w:rFonts w:ascii="Garamond" w:hAnsi="Garamond" w:cs="Arial"/>
          <w:sz w:val="26"/>
          <w:szCs w:val="26"/>
          <w:u w:color="000000"/>
        </w:rPr>
        <w:t xml:space="preserve"> </w:t>
      </w:r>
      <w:r w:rsidR="00DA54A1" w:rsidRPr="00615938">
        <w:rPr>
          <w:rFonts w:ascii="Garamond" w:hAnsi="Garamond" w:cs="Arial"/>
          <w:sz w:val="26"/>
          <w:szCs w:val="26"/>
          <w:u w:color="000000"/>
        </w:rPr>
        <w:t xml:space="preserve">In merito </w:t>
      </w:r>
      <w:r w:rsidR="00935D7B" w:rsidRPr="00615938">
        <w:rPr>
          <w:rFonts w:ascii="Garamond" w:hAnsi="Garamond" w:cs="Arial"/>
          <w:sz w:val="26"/>
          <w:szCs w:val="26"/>
          <w:u w:color="000000"/>
        </w:rPr>
        <w:t xml:space="preserve">al carattere </w:t>
      </w:r>
      <w:r w:rsidR="00935D7B" w:rsidRPr="00615938">
        <w:rPr>
          <w:rFonts w:ascii="Garamond" w:hAnsi="Garamond" w:cs="Arial"/>
          <w:i/>
          <w:iCs/>
          <w:sz w:val="26"/>
          <w:szCs w:val="26"/>
          <w:u w:color="000000"/>
        </w:rPr>
        <w:t xml:space="preserve">occasionale </w:t>
      </w:r>
      <w:r w:rsidR="00935D7B" w:rsidRPr="00615938">
        <w:rPr>
          <w:rFonts w:ascii="Garamond" w:hAnsi="Garamond" w:cs="Arial"/>
          <w:sz w:val="26"/>
          <w:szCs w:val="26"/>
          <w:u w:color="000000"/>
        </w:rPr>
        <w:t>dell’incarico o carica o attività professionale, l’ANAC</w:t>
      </w:r>
      <w:r w:rsidR="00DA54A1" w:rsidRPr="00615938">
        <w:rPr>
          <w:rFonts w:ascii="Garamond" w:hAnsi="Garamond" w:cs="Arial"/>
          <w:sz w:val="26"/>
          <w:szCs w:val="26"/>
          <w:u w:color="000000"/>
        </w:rPr>
        <w:t xml:space="preserve"> </w:t>
      </w:r>
      <w:r w:rsidR="00CB0ADF" w:rsidRPr="00615938">
        <w:rPr>
          <w:rFonts w:ascii="Garamond" w:hAnsi="Garamond" w:cs="Arial"/>
          <w:sz w:val="26"/>
          <w:szCs w:val="26"/>
          <w:u w:color="000000"/>
        </w:rPr>
        <w:t xml:space="preserve">ha </w:t>
      </w:r>
      <w:r w:rsidR="00F86D97" w:rsidRPr="00615938">
        <w:rPr>
          <w:rFonts w:ascii="Garamond" w:hAnsi="Garamond" w:cs="Arial"/>
          <w:sz w:val="26"/>
          <w:szCs w:val="26"/>
          <w:u w:color="000000"/>
        </w:rPr>
        <w:t xml:space="preserve">elencato alcuni elementi </w:t>
      </w:r>
      <w:r w:rsidR="00F86D97" w:rsidRPr="00615938">
        <w:rPr>
          <w:rFonts w:ascii="Garamond" w:hAnsi="Garamond" w:cs="Arial"/>
          <w:i/>
          <w:iCs/>
          <w:sz w:val="26"/>
          <w:szCs w:val="26"/>
          <w:u w:color="000000"/>
        </w:rPr>
        <w:t xml:space="preserve">sintomatici </w:t>
      </w:r>
      <w:r w:rsidR="00F86D97" w:rsidRPr="00615938">
        <w:rPr>
          <w:rFonts w:ascii="Garamond" w:hAnsi="Garamond" w:cs="Arial"/>
          <w:sz w:val="26"/>
          <w:szCs w:val="26"/>
          <w:u w:color="000000"/>
        </w:rPr>
        <w:t xml:space="preserve">della </w:t>
      </w:r>
      <w:r w:rsidR="002465AA" w:rsidRPr="00615938">
        <w:rPr>
          <w:rFonts w:ascii="Garamond" w:hAnsi="Garamond" w:cs="Arial"/>
          <w:i/>
          <w:iCs/>
          <w:sz w:val="26"/>
          <w:szCs w:val="26"/>
          <w:u w:color="000000"/>
        </w:rPr>
        <w:t>occasionalità</w:t>
      </w:r>
      <w:r w:rsidR="002465AA" w:rsidRPr="00615938">
        <w:rPr>
          <w:rFonts w:ascii="Garamond" w:hAnsi="Garamond" w:cs="Arial"/>
          <w:sz w:val="26"/>
          <w:szCs w:val="26"/>
          <w:u w:color="000000"/>
        </w:rPr>
        <w:t xml:space="preserve"> del rapporto di lavoro</w:t>
      </w:r>
      <w:r w:rsidR="00263865" w:rsidRPr="00615938">
        <w:rPr>
          <w:rFonts w:ascii="Garamond" w:hAnsi="Garamond" w:cs="Arial"/>
          <w:sz w:val="26"/>
          <w:szCs w:val="26"/>
          <w:u w:color="000000"/>
        </w:rPr>
        <w:t xml:space="preserve"> che di seguito si riportano:</w:t>
      </w:r>
    </w:p>
    <w:p w14:paraId="63AF8EB4" w14:textId="28DD50A8" w:rsidR="00827138" w:rsidRPr="00615938" w:rsidRDefault="00AE2941" w:rsidP="00B8265F">
      <w:pPr>
        <w:pStyle w:val="Paragrafoelenco"/>
        <w:numPr>
          <w:ilvl w:val="0"/>
          <w:numId w:val="16"/>
        </w:numPr>
        <w:spacing w:after="80" w:line="276" w:lineRule="auto"/>
        <w:jc w:val="both"/>
        <w:rPr>
          <w:rFonts w:ascii="Garamond" w:hAnsi="Garamond" w:cs="Arial"/>
          <w:sz w:val="26"/>
          <w:szCs w:val="26"/>
          <w:u w:color="000000"/>
        </w:rPr>
      </w:pPr>
      <w:r w:rsidRPr="00615938">
        <w:rPr>
          <w:rFonts w:ascii="Garamond" w:hAnsi="Garamond" w:cs="Arial"/>
          <w:sz w:val="26"/>
          <w:szCs w:val="26"/>
          <w:u w:color="000000"/>
        </w:rPr>
        <w:t xml:space="preserve">oggetto della prestazione professionale svolta e non particolare complessità dell’incarico in termini di professionalità, competenze professionali di alto livello e </w:t>
      </w:r>
      <w:r w:rsidRPr="00615938">
        <w:rPr>
          <w:rFonts w:ascii="Garamond" w:hAnsi="Garamond" w:cs="Arial"/>
          <w:i/>
          <w:iCs/>
          <w:sz w:val="26"/>
          <w:szCs w:val="26"/>
          <w:u w:color="000000"/>
        </w:rPr>
        <w:t xml:space="preserve">know </w:t>
      </w:r>
      <w:r w:rsidRPr="00615938">
        <w:rPr>
          <w:rFonts w:ascii="Garamond" w:hAnsi="Garamond" w:cs="Arial"/>
          <w:sz w:val="26"/>
          <w:szCs w:val="26"/>
          <w:u w:color="000000"/>
        </w:rPr>
        <w:t>how necessari per il suo espletamento</w:t>
      </w:r>
      <w:r w:rsidR="006904E0" w:rsidRPr="00615938">
        <w:rPr>
          <w:rFonts w:ascii="Garamond" w:hAnsi="Garamond" w:cs="Arial"/>
          <w:sz w:val="26"/>
          <w:szCs w:val="26"/>
          <w:u w:color="000000"/>
        </w:rPr>
        <w:t>;</w:t>
      </w:r>
    </w:p>
    <w:p w14:paraId="1E0A9D9E" w14:textId="067F6AF1" w:rsidR="006904E0" w:rsidRPr="00615938" w:rsidRDefault="0093249A" w:rsidP="00B8265F">
      <w:pPr>
        <w:pStyle w:val="Paragrafoelenco"/>
        <w:numPr>
          <w:ilvl w:val="0"/>
          <w:numId w:val="16"/>
        </w:numPr>
        <w:spacing w:after="80" w:line="276" w:lineRule="auto"/>
        <w:jc w:val="both"/>
        <w:rPr>
          <w:rFonts w:ascii="Garamond" w:hAnsi="Garamond" w:cs="Arial"/>
          <w:sz w:val="26"/>
          <w:szCs w:val="26"/>
          <w:u w:color="000000"/>
        </w:rPr>
      </w:pPr>
      <w:r w:rsidRPr="00615938">
        <w:rPr>
          <w:rFonts w:ascii="Garamond" w:hAnsi="Garamond" w:cs="Arial"/>
          <w:sz w:val="26"/>
          <w:szCs w:val="26"/>
          <w:u w:color="000000"/>
        </w:rPr>
        <w:t>limitata (o non particolarmente complessa) modalità di organizzazione che il soggetto incaricato ha assunto per lo svolgimento dell’incarico, in termini di risorse e mezzi necessari a soddisfare le esigenze dell’ente affidante;</w:t>
      </w:r>
    </w:p>
    <w:p w14:paraId="7D01FADE" w14:textId="63D05ADA" w:rsidR="0093249A" w:rsidRPr="00615938" w:rsidRDefault="0005126C" w:rsidP="00B8265F">
      <w:pPr>
        <w:pStyle w:val="Paragrafoelenco"/>
        <w:numPr>
          <w:ilvl w:val="0"/>
          <w:numId w:val="16"/>
        </w:numPr>
        <w:spacing w:after="80" w:line="276" w:lineRule="auto"/>
        <w:jc w:val="both"/>
        <w:rPr>
          <w:rFonts w:ascii="Garamond" w:hAnsi="Garamond" w:cs="Arial"/>
          <w:sz w:val="26"/>
          <w:szCs w:val="26"/>
          <w:u w:color="000000"/>
        </w:rPr>
      </w:pPr>
      <w:r w:rsidRPr="00615938">
        <w:rPr>
          <w:rFonts w:ascii="Garamond" w:hAnsi="Garamond" w:cs="Arial"/>
          <w:sz w:val="26"/>
          <w:szCs w:val="26"/>
          <w:u w:color="000000"/>
        </w:rPr>
        <w:t>basso livello di responsabilità assunto;</w:t>
      </w:r>
    </w:p>
    <w:p w14:paraId="182F4E77" w14:textId="4D6C149F" w:rsidR="0005126C" w:rsidRPr="00615938" w:rsidRDefault="0005126C" w:rsidP="00B8265F">
      <w:pPr>
        <w:pStyle w:val="Paragrafoelenco"/>
        <w:numPr>
          <w:ilvl w:val="0"/>
          <w:numId w:val="16"/>
        </w:numPr>
        <w:spacing w:after="80" w:line="276" w:lineRule="auto"/>
        <w:jc w:val="both"/>
        <w:rPr>
          <w:rFonts w:ascii="Garamond" w:hAnsi="Garamond" w:cs="Arial"/>
          <w:sz w:val="26"/>
          <w:szCs w:val="26"/>
          <w:u w:color="000000"/>
        </w:rPr>
      </w:pPr>
      <w:r w:rsidRPr="00615938">
        <w:rPr>
          <w:rFonts w:ascii="Garamond" w:hAnsi="Garamond" w:cs="Arial"/>
          <w:sz w:val="26"/>
          <w:szCs w:val="26"/>
          <w:u w:color="000000"/>
        </w:rPr>
        <w:t>scarsa entità della remunerazione, o sua completa assenza;</w:t>
      </w:r>
    </w:p>
    <w:p w14:paraId="4BEAB158" w14:textId="465FFE90" w:rsidR="001B7729" w:rsidRPr="00615938" w:rsidRDefault="0043305E" w:rsidP="00B8265F">
      <w:pPr>
        <w:pStyle w:val="Paragrafoelenco"/>
        <w:numPr>
          <w:ilvl w:val="0"/>
          <w:numId w:val="16"/>
        </w:numPr>
        <w:spacing w:after="80" w:line="276" w:lineRule="auto"/>
        <w:jc w:val="both"/>
        <w:rPr>
          <w:rFonts w:ascii="Garamond" w:hAnsi="Garamond" w:cs="Arial"/>
          <w:sz w:val="26"/>
          <w:szCs w:val="26"/>
          <w:u w:color="000000"/>
        </w:rPr>
      </w:pPr>
      <w:r w:rsidRPr="00615938">
        <w:rPr>
          <w:rFonts w:ascii="Garamond" w:hAnsi="Garamond" w:cs="Arial"/>
          <w:sz w:val="26"/>
          <w:szCs w:val="26"/>
          <w:u w:color="000000"/>
        </w:rPr>
        <w:t>limitata durata dell’incarico/del rapporto di lavoro e, nel contempo, limitata capacità che il soggetto incaricato ha avuto di condizionare le decisioni del soggetto pubblico nello svolgimento della propria attività professionale.</w:t>
      </w:r>
    </w:p>
    <w:p w14:paraId="618D8093" w14:textId="0B393531" w:rsidR="00880341" w:rsidRPr="00615938" w:rsidRDefault="008C3778" w:rsidP="00922281">
      <w:pPr>
        <w:spacing w:after="80" w:line="276" w:lineRule="auto"/>
        <w:jc w:val="both"/>
        <w:rPr>
          <w:rFonts w:ascii="Garamond" w:hAnsi="Garamond" w:cs="Arial"/>
          <w:sz w:val="26"/>
          <w:szCs w:val="26"/>
          <w:u w:color="000000"/>
        </w:rPr>
      </w:pPr>
      <w:r w:rsidRPr="00615938">
        <w:rPr>
          <w:rFonts w:ascii="Garamond" w:hAnsi="Garamond" w:cs="Arial"/>
          <w:sz w:val="26"/>
          <w:szCs w:val="26"/>
          <w:u w:color="000000"/>
        </w:rPr>
        <w:t>Il</w:t>
      </w:r>
      <w:r w:rsidR="00B072C3" w:rsidRPr="00615938">
        <w:rPr>
          <w:rFonts w:ascii="Garamond" w:hAnsi="Garamond" w:cs="Arial"/>
          <w:sz w:val="26"/>
          <w:szCs w:val="26"/>
          <w:u w:color="000000"/>
        </w:rPr>
        <w:t xml:space="preserve"> </w:t>
      </w:r>
      <w:r w:rsidR="009015E8" w:rsidRPr="00615938">
        <w:rPr>
          <w:rFonts w:ascii="Garamond" w:hAnsi="Garamond" w:cs="Arial"/>
          <w:sz w:val="26"/>
          <w:szCs w:val="26"/>
          <w:u w:color="000000"/>
        </w:rPr>
        <w:t>D</w:t>
      </w:r>
      <w:r w:rsidR="00B072C3" w:rsidRPr="00615938">
        <w:rPr>
          <w:rFonts w:ascii="Garamond" w:hAnsi="Garamond" w:cs="Arial"/>
          <w:sz w:val="26"/>
          <w:szCs w:val="26"/>
          <w:u w:color="000000"/>
        </w:rPr>
        <w:t>.</w:t>
      </w:r>
      <w:r w:rsidR="009015E8" w:rsidRPr="00615938">
        <w:rPr>
          <w:rFonts w:ascii="Garamond" w:hAnsi="Garamond" w:cs="Arial"/>
          <w:sz w:val="26"/>
          <w:szCs w:val="26"/>
          <w:u w:color="000000"/>
        </w:rPr>
        <w:t>L</w:t>
      </w:r>
      <w:r w:rsidR="00F15EE2" w:rsidRPr="00615938">
        <w:rPr>
          <w:rFonts w:ascii="Garamond" w:hAnsi="Garamond" w:cs="Arial"/>
          <w:sz w:val="26"/>
          <w:szCs w:val="26"/>
          <w:u w:color="000000"/>
        </w:rPr>
        <w:t xml:space="preserve">. n. 25/2025 ha modificato l’art. 12 del </w:t>
      </w:r>
      <w:r w:rsidR="00B64851" w:rsidRPr="00615938">
        <w:rPr>
          <w:rFonts w:ascii="Garamond" w:hAnsi="Garamond" w:cs="Arial"/>
          <w:sz w:val="26"/>
          <w:szCs w:val="26"/>
          <w:u w:color="000000"/>
        </w:rPr>
        <w:t>D</w:t>
      </w:r>
      <w:r w:rsidR="00F15EE2" w:rsidRPr="00615938">
        <w:rPr>
          <w:rFonts w:ascii="Garamond" w:hAnsi="Garamond" w:cs="Arial"/>
          <w:sz w:val="26"/>
          <w:szCs w:val="26"/>
          <w:u w:color="000000"/>
        </w:rPr>
        <w:t>lgs</w:t>
      </w:r>
      <w:r w:rsidR="00D24CAD" w:rsidRPr="00615938">
        <w:rPr>
          <w:rFonts w:ascii="Garamond" w:hAnsi="Garamond" w:cs="Arial"/>
          <w:sz w:val="26"/>
          <w:szCs w:val="26"/>
          <w:u w:color="000000"/>
        </w:rPr>
        <w:t>.</w:t>
      </w:r>
      <w:r w:rsidR="00F15EE2" w:rsidRPr="00615938">
        <w:rPr>
          <w:rFonts w:ascii="Garamond" w:hAnsi="Garamond" w:cs="Arial"/>
          <w:sz w:val="26"/>
          <w:szCs w:val="26"/>
          <w:u w:color="000000"/>
        </w:rPr>
        <w:t xml:space="preserve"> n. 39/2013</w:t>
      </w:r>
      <w:r w:rsidR="00B64851" w:rsidRPr="00615938">
        <w:rPr>
          <w:rFonts w:ascii="Garamond" w:hAnsi="Garamond" w:cs="Arial"/>
          <w:sz w:val="26"/>
          <w:szCs w:val="26"/>
          <w:u w:color="000000"/>
        </w:rPr>
        <w:t xml:space="preserve"> recante </w:t>
      </w:r>
      <w:r w:rsidR="00E00645" w:rsidRPr="00615938">
        <w:rPr>
          <w:rFonts w:ascii="Garamond" w:hAnsi="Garamond" w:cs="Arial"/>
          <w:i/>
          <w:iCs/>
          <w:sz w:val="26"/>
          <w:szCs w:val="26"/>
          <w:u w:color="000000"/>
        </w:rPr>
        <w:t xml:space="preserve">Incompatibilità </w:t>
      </w:r>
      <w:r w:rsidR="008D675C" w:rsidRPr="00615938">
        <w:rPr>
          <w:rFonts w:ascii="Garamond" w:hAnsi="Garamond" w:cs="Arial"/>
          <w:i/>
          <w:iCs/>
          <w:sz w:val="26"/>
          <w:szCs w:val="26"/>
          <w:u w:color="000000"/>
        </w:rPr>
        <w:t>tra incarichi dirigenziali interni e esterni e cariche di componenti degli organi di indirizzo nelle amministrazioni statali, regionali e locali</w:t>
      </w:r>
      <w:r w:rsidR="00B64851" w:rsidRPr="00615938">
        <w:rPr>
          <w:rFonts w:ascii="Garamond" w:hAnsi="Garamond" w:cs="Arial"/>
          <w:sz w:val="26"/>
          <w:szCs w:val="26"/>
          <w:u w:color="000000"/>
        </w:rPr>
        <w:t xml:space="preserve">, </w:t>
      </w:r>
      <w:r w:rsidR="00F15EE2" w:rsidRPr="00615938">
        <w:rPr>
          <w:rFonts w:ascii="Garamond" w:hAnsi="Garamond" w:cs="Arial"/>
          <w:sz w:val="26"/>
          <w:szCs w:val="26"/>
          <w:u w:color="000000"/>
        </w:rPr>
        <w:t>introducendo il c. 4</w:t>
      </w:r>
      <w:r w:rsidR="00B64851" w:rsidRPr="00615938">
        <w:rPr>
          <w:rFonts w:ascii="Garamond" w:hAnsi="Garamond" w:cs="Arial"/>
          <w:sz w:val="26"/>
          <w:szCs w:val="26"/>
          <w:u w:color="000000"/>
        </w:rPr>
        <w:t xml:space="preserve"> </w:t>
      </w:r>
      <w:r w:rsidR="00F15EE2" w:rsidRPr="00615938">
        <w:rPr>
          <w:rFonts w:ascii="Garamond" w:hAnsi="Garamond" w:cs="Arial"/>
          <w:i/>
          <w:iCs/>
          <w:sz w:val="26"/>
          <w:szCs w:val="26"/>
          <w:u w:color="000000"/>
        </w:rPr>
        <w:t>bis</w:t>
      </w:r>
      <w:r w:rsidR="00D72DDB">
        <w:rPr>
          <w:rFonts w:ascii="Garamond" w:hAnsi="Garamond" w:cs="Arial"/>
          <w:sz w:val="26"/>
          <w:szCs w:val="26"/>
          <w:u w:color="000000"/>
        </w:rPr>
        <w:t>,</w:t>
      </w:r>
      <w:r w:rsidR="00780FE7" w:rsidRPr="00615938">
        <w:rPr>
          <w:rFonts w:ascii="Garamond" w:hAnsi="Garamond" w:cs="Arial"/>
          <w:sz w:val="26"/>
          <w:szCs w:val="26"/>
          <w:u w:color="000000"/>
        </w:rPr>
        <w:t xml:space="preserve"> </w:t>
      </w:r>
      <w:r w:rsidR="00E57FAB" w:rsidRPr="00615938">
        <w:rPr>
          <w:rFonts w:ascii="Garamond" w:hAnsi="Garamond" w:cs="Arial"/>
          <w:sz w:val="26"/>
          <w:szCs w:val="26"/>
          <w:u w:color="000000"/>
        </w:rPr>
        <w:t>s</w:t>
      </w:r>
      <w:r w:rsidR="00780FE7" w:rsidRPr="00615938">
        <w:rPr>
          <w:rFonts w:ascii="Garamond" w:hAnsi="Garamond" w:cs="Arial"/>
          <w:sz w:val="26"/>
          <w:szCs w:val="26"/>
          <w:u w:color="000000"/>
        </w:rPr>
        <w:t xml:space="preserve">econdo </w:t>
      </w:r>
      <w:r w:rsidR="00B64851" w:rsidRPr="00615938">
        <w:rPr>
          <w:rFonts w:ascii="Garamond" w:hAnsi="Garamond" w:cs="Arial"/>
          <w:sz w:val="26"/>
          <w:szCs w:val="26"/>
          <w:u w:color="000000"/>
        </w:rPr>
        <w:t xml:space="preserve">cui </w:t>
      </w:r>
      <w:r w:rsidR="00FF6B05" w:rsidRPr="00615938">
        <w:rPr>
          <w:rFonts w:ascii="Garamond" w:hAnsi="Garamond" w:cs="Arial"/>
          <w:sz w:val="26"/>
          <w:szCs w:val="26"/>
          <w:u w:color="000000"/>
        </w:rPr>
        <w:t xml:space="preserve">dette incompatibilità </w:t>
      </w:r>
      <w:r w:rsidR="00FF6B05" w:rsidRPr="00615938">
        <w:rPr>
          <w:rFonts w:ascii="Garamond" w:hAnsi="Garamond" w:cs="Arial"/>
          <w:i/>
          <w:iCs/>
          <w:sz w:val="26"/>
          <w:szCs w:val="26"/>
          <w:u w:color="000000"/>
        </w:rPr>
        <w:t>non si applicano ai dipendenti di ruolo di livello dirigenziale della stessa amministrazione e dello stesso ente pubblico o ente di diritto privato</w:t>
      </w:r>
      <w:r w:rsidR="00CB1DB9" w:rsidRPr="00615938">
        <w:rPr>
          <w:rFonts w:ascii="Garamond" w:hAnsi="Garamond" w:cs="Arial"/>
          <w:i/>
          <w:iCs/>
          <w:sz w:val="26"/>
          <w:szCs w:val="26"/>
          <w:u w:color="000000"/>
        </w:rPr>
        <w:t xml:space="preserve"> in controllo pubblico che conferisce l’incarico</w:t>
      </w:r>
      <w:r w:rsidR="00CB1DB9" w:rsidRPr="00615938">
        <w:rPr>
          <w:rFonts w:ascii="Garamond" w:hAnsi="Garamond" w:cs="Arial"/>
          <w:sz w:val="26"/>
          <w:szCs w:val="26"/>
          <w:u w:color="000000"/>
        </w:rPr>
        <w:t>.</w:t>
      </w:r>
    </w:p>
    <w:p w14:paraId="206EBC34" w14:textId="77777777" w:rsidR="00D637E7" w:rsidRPr="00615938" w:rsidRDefault="00D73F3B" w:rsidP="00922281">
      <w:pPr>
        <w:spacing w:after="80" w:line="276" w:lineRule="auto"/>
        <w:jc w:val="both"/>
        <w:rPr>
          <w:rFonts w:ascii="Garamond" w:hAnsi="Garamond" w:cs="Arial"/>
          <w:sz w:val="26"/>
          <w:szCs w:val="26"/>
          <w:u w:color="000000"/>
        </w:rPr>
      </w:pPr>
      <w:r w:rsidRPr="00615938">
        <w:rPr>
          <w:rFonts w:ascii="Garamond" w:hAnsi="Garamond" w:cs="Arial"/>
          <w:sz w:val="26"/>
          <w:szCs w:val="26"/>
          <w:u w:color="000000"/>
        </w:rPr>
        <w:t>L’ANAC</w:t>
      </w:r>
      <w:r w:rsidR="00B64851" w:rsidRPr="00615938">
        <w:rPr>
          <w:rFonts w:ascii="Garamond" w:hAnsi="Garamond" w:cs="Arial"/>
          <w:sz w:val="26"/>
          <w:szCs w:val="26"/>
          <w:u w:color="000000"/>
        </w:rPr>
        <w:t xml:space="preserve">, </w:t>
      </w:r>
      <w:r w:rsidRPr="00615938">
        <w:rPr>
          <w:rFonts w:ascii="Garamond" w:hAnsi="Garamond" w:cs="Arial"/>
          <w:sz w:val="26"/>
          <w:szCs w:val="26"/>
          <w:u w:color="000000"/>
        </w:rPr>
        <w:t>con il</w:t>
      </w:r>
      <w:r w:rsidR="00186D92" w:rsidRPr="00615938">
        <w:rPr>
          <w:rFonts w:ascii="Garamond" w:hAnsi="Garamond" w:cs="Arial"/>
          <w:sz w:val="26"/>
          <w:szCs w:val="26"/>
          <w:u w:color="000000"/>
        </w:rPr>
        <w:t xml:space="preserve"> PNA 2025</w:t>
      </w:r>
      <w:r w:rsidR="00B64851" w:rsidRPr="00615938">
        <w:rPr>
          <w:rFonts w:ascii="Garamond" w:hAnsi="Garamond" w:cs="Arial"/>
          <w:sz w:val="26"/>
          <w:szCs w:val="26"/>
          <w:u w:color="000000"/>
        </w:rPr>
        <w:t>,</w:t>
      </w:r>
      <w:r w:rsidR="00186D92" w:rsidRPr="00615938">
        <w:rPr>
          <w:rFonts w:ascii="Garamond" w:hAnsi="Garamond" w:cs="Arial"/>
          <w:sz w:val="26"/>
          <w:szCs w:val="26"/>
          <w:u w:color="000000"/>
        </w:rPr>
        <w:t xml:space="preserve"> </w:t>
      </w:r>
      <w:r w:rsidR="00C01B67" w:rsidRPr="00615938">
        <w:rPr>
          <w:rFonts w:ascii="Garamond" w:hAnsi="Garamond" w:cs="Arial"/>
          <w:sz w:val="26"/>
          <w:szCs w:val="26"/>
          <w:u w:color="000000"/>
        </w:rPr>
        <w:t>ha messo</w:t>
      </w:r>
      <w:r w:rsidR="00706C25" w:rsidRPr="00615938">
        <w:rPr>
          <w:rFonts w:ascii="Garamond" w:hAnsi="Garamond" w:cs="Arial"/>
          <w:sz w:val="26"/>
          <w:szCs w:val="26"/>
          <w:u w:color="000000"/>
        </w:rPr>
        <w:t xml:space="preserve"> </w:t>
      </w:r>
      <w:r w:rsidR="00C01B67" w:rsidRPr="00615938">
        <w:rPr>
          <w:rFonts w:ascii="Garamond" w:hAnsi="Garamond" w:cs="Arial"/>
          <w:sz w:val="26"/>
          <w:szCs w:val="26"/>
          <w:u w:color="000000"/>
        </w:rPr>
        <w:t xml:space="preserve">a disposizione delle Amministrazioni </w:t>
      </w:r>
      <w:r w:rsidR="00BA38A3" w:rsidRPr="00615938">
        <w:rPr>
          <w:rFonts w:ascii="Garamond" w:hAnsi="Garamond" w:cs="Arial"/>
          <w:sz w:val="26"/>
          <w:szCs w:val="26"/>
          <w:u w:color="000000"/>
        </w:rPr>
        <w:t>degli schemi esplicativi delle fattispecie di inconferibilità e incompatibilità</w:t>
      </w:r>
      <w:r w:rsidR="00834FE8" w:rsidRPr="00615938">
        <w:rPr>
          <w:rFonts w:ascii="Garamond" w:hAnsi="Garamond" w:cs="Arial"/>
          <w:sz w:val="26"/>
          <w:szCs w:val="26"/>
          <w:u w:color="000000"/>
        </w:rPr>
        <w:t xml:space="preserve"> </w:t>
      </w:r>
      <w:r w:rsidR="00EB7A4A" w:rsidRPr="00615938">
        <w:rPr>
          <w:rFonts w:ascii="Garamond" w:hAnsi="Garamond" w:cs="Arial"/>
          <w:sz w:val="26"/>
          <w:szCs w:val="26"/>
          <w:u w:color="000000"/>
        </w:rPr>
        <w:t>per una corretta applicazio</w:t>
      </w:r>
      <w:r w:rsidR="001C6876" w:rsidRPr="00615938">
        <w:rPr>
          <w:rFonts w:ascii="Garamond" w:hAnsi="Garamond" w:cs="Arial"/>
          <w:sz w:val="26"/>
          <w:szCs w:val="26"/>
          <w:u w:color="000000"/>
        </w:rPr>
        <w:t>ne del Dlgs. n. 39/2013 e per supportare i soggetti che rendono le dichiarazioni.</w:t>
      </w:r>
      <w:r w:rsidR="00150D7A" w:rsidRPr="00615938">
        <w:rPr>
          <w:rFonts w:ascii="Garamond" w:hAnsi="Garamond" w:cs="Arial"/>
          <w:sz w:val="26"/>
          <w:szCs w:val="26"/>
          <w:u w:color="000000"/>
        </w:rPr>
        <w:t xml:space="preserve"> </w:t>
      </w:r>
    </w:p>
    <w:p w14:paraId="51CAB207" w14:textId="36E59415" w:rsidR="002A7D6C" w:rsidRPr="00615938" w:rsidRDefault="002E7CFB" w:rsidP="00922281">
      <w:pPr>
        <w:spacing w:after="80" w:line="276" w:lineRule="auto"/>
        <w:jc w:val="both"/>
        <w:rPr>
          <w:rFonts w:ascii="Garamond" w:hAnsi="Garamond" w:cs="Arial"/>
          <w:sz w:val="26"/>
          <w:szCs w:val="26"/>
          <w:u w:color="000000"/>
        </w:rPr>
      </w:pPr>
      <w:r w:rsidRPr="00615938">
        <w:rPr>
          <w:rFonts w:ascii="Garamond" w:hAnsi="Garamond" w:cs="Arial"/>
          <w:sz w:val="26"/>
          <w:szCs w:val="26"/>
          <w:u w:color="000000"/>
        </w:rPr>
        <w:t xml:space="preserve">Sarà cura del RPCT </w:t>
      </w:r>
      <w:r w:rsidR="004F2308" w:rsidRPr="00615938">
        <w:rPr>
          <w:rFonts w:ascii="Garamond" w:hAnsi="Garamond" w:cs="Arial"/>
          <w:sz w:val="26"/>
          <w:szCs w:val="26"/>
          <w:u w:color="000000"/>
        </w:rPr>
        <w:t>predisporre</w:t>
      </w:r>
      <w:r w:rsidR="00B64851" w:rsidRPr="00615938">
        <w:rPr>
          <w:rFonts w:ascii="Garamond" w:hAnsi="Garamond" w:cs="Arial"/>
          <w:sz w:val="26"/>
          <w:szCs w:val="26"/>
          <w:u w:color="000000"/>
        </w:rPr>
        <w:t xml:space="preserve">, </w:t>
      </w:r>
      <w:r w:rsidR="00962311" w:rsidRPr="00615938">
        <w:rPr>
          <w:rFonts w:ascii="Garamond" w:hAnsi="Garamond" w:cs="Arial"/>
          <w:sz w:val="26"/>
          <w:szCs w:val="26"/>
          <w:u w:color="000000"/>
        </w:rPr>
        <w:t>nel corso del</w:t>
      </w:r>
      <w:r w:rsidR="00B64851" w:rsidRPr="00615938">
        <w:rPr>
          <w:rFonts w:ascii="Garamond" w:hAnsi="Garamond" w:cs="Arial"/>
          <w:sz w:val="26"/>
          <w:szCs w:val="26"/>
          <w:u w:color="000000"/>
        </w:rPr>
        <w:t xml:space="preserve"> </w:t>
      </w:r>
      <w:r w:rsidR="00962311" w:rsidRPr="00615938">
        <w:rPr>
          <w:rFonts w:ascii="Garamond" w:hAnsi="Garamond" w:cs="Arial"/>
          <w:sz w:val="26"/>
          <w:szCs w:val="26"/>
          <w:u w:color="000000"/>
        </w:rPr>
        <w:t>2026</w:t>
      </w:r>
      <w:r w:rsidR="00B64851" w:rsidRPr="00615938">
        <w:rPr>
          <w:rFonts w:ascii="Garamond" w:hAnsi="Garamond" w:cs="Arial"/>
          <w:sz w:val="26"/>
          <w:szCs w:val="26"/>
          <w:u w:color="000000"/>
        </w:rPr>
        <w:t xml:space="preserve">, </w:t>
      </w:r>
      <w:r w:rsidR="004F2308" w:rsidRPr="00615938">
        <w:rPr>
          <w:rFonts w:ascii="Garamond" w:hAnsi="Garamond" w:cs="Arial"/>
          <w:sz w:val="26"/>
          <w:szCs w:val="26"/>
          <w:u w:color="000000"/>
        </w:rPr>
        <w:t>una informativa chiara</w:t>
      </w:r>
      <w:r w:rsidR="007248EC" w:rsidRPr="00615938">
        <w:rPr>
          <w:rFonts w:ascii="Garamond" w:hAnsi="Garamond" w:cs="Arial"/>
          <w:sz w:val="26"/>
          <w:szCs w:val="26"/>
          <w:u w:color="000000"/>
        </w:rPr>
        <w:t xml:space="preserve"> da sottoporre</w:t>
      </w:r>
      <w:r w:rsidR="00B64851" w:rsidRPr="00615938">
        <w:rPr>
          <w:rFonts w:ascii="Garamond" w:hAnsi="Garamond" w:cs="Arial"/>
          <w:sz w:val="26"/>
          <w:szCs w:val="26"/>
          <w:u w:color="000000"/>
        </w:rPr>
        <w:t xml:space="preserve"> - </w:t>
      </w:r>
      <w:r w:rsidR="00E53C65" w:rsidRPr="00615938">
        <w:rPr>
          <w:rFonts w:ascii="Garamond" w:hAnsi="Garamond" w:cs="Arial"/>
          <w:sz w:val="26"/>
          <w:szCs w:val="26"/>
          <w:u w:color="000000"/>
        </w:rPr>
        <w:t xml:space="preserve">tramite l’Ufficio </w:t>
      </w:r>
      <w:r w:rsidR="00B64851" w:rsidRPr="00615938">
        <w:rPr>
          <w:rFonts w:ascii="Garamond" w:hAnsi="Garamond" w:cs="Arial"/>
          <w:i/>
          <w:iCs/>
          <w:sz w:val="26"/>
          <w:szCs w:val="26"/>
          <w:u w:color="000000"/>
        </w:rPr>
        <w:t>Gestione del p</w:t>
      </w:r>
      <w:r w:rsidR="00E53C65" w:rsidRPr="00615938">
        <w:rPr>
          <w:rFonts w:ascii="Garamond" w:hAnsi="Garamond" w:cs="Arial"/>
          <w:i/>
          <w:iCs/>
          <w:sz w:val="26"/>
          <w:szCs w:val="26"/>
          <w:u w:color="000000"/>
        </w:rPr>
        <w:t>ersonale,</w:t>
      </w:r>
      <w:r w:rsidR="007248EC" w:rsidRPr="00615938">
        <w:rPr>
          <w:rFonts w:ascii="Garamond" w:hAnsi="Garamond" w:cs="Arial"/>
          <w:sz w:val="26"/>
          <w:szCs w:val="26"/>
          <w:u w:color="000000"/>
        </w:rPr>
        <w:t xml:space="preserve"> a</w:t>
      </w:r>
      <w:r w:rsidR="00674B29" w:rsidRPr="00615938">
        <w:rPr>
          <w:rFonts w:ascii="Garamond" w:hAnsi="Garamond" w:cs="Arial"/>
          <w:sz w:val="26"/>
          <w:szCs w:val="26"/>
          <w:u w:color="000000"/>
        </w:rPr>
        <w:t>l</w:t>
      </w:r>
      <w:r w:rsidR="007248EC" w:rsidRPr="00615938">
        <w:rPr>
          <w:rFonts w:ascii="Garamond" w:hAnsi="Garamond" w:cs="Arial"/>
          <w:sz w:val="26"/>
          <w:szCs w:val="26"/>
          <w:u w:color="000000"/>
        </w:rPr>
        <w:t xml:space="preserve"> soggett</w:t>
      </w:r>
      <w:r w:rsidR="00674B29" w:rsidRPr="00615938">
        <w:rPr>
          <w:rFonts w:ascii="Garamond" w:hAnsi="Garamond" w:cs="Arial"/>
          <w:sz w:val="26"/>
          <w:szCs w:val="26"/>
          <w:u w:color="000000"/>
        </w:rPr>
        <w:t>o</w:t>
      </w:r>
      <w:r w:rsidR="007248EC" w:rsidRPr="00615938">
        <w:rPr>
          <w:rFonts w:ascii="Garamond" w:hAnsi="Garamond" w:cs="Arial"/>
          <w:sz w:val="26"/>
          <w:szCs w:val="26"/>
          <w:u w:color="000000"/>
        </w:rPr>
        <w:t xml:space="preserve"> a</w:t>
      </w:r>
      <w:r w:rsidR="00B64851" w:rsidRPr="00615938">
        <w:rPr>
          <w:rFonts w:ascii="Garamond" w:hAnsi="Garamond" w:cs="Arial"/>
          <w:sz w:val="26"/>
          <w:szCs w:val="26"/>
          <w:u w:color="000000"/>
        </w:rPr>
        <w:t xml:space="preserve"> cui</w:t>
      </w:r>
      <w:r w:rsidR="00674B29" w:rsidRPr="00615938">
        <w:rPr>
          <w:rFonts w:ascii="Garamond" w:hAnsi="Garamond" w:cs="Arial"/>
          <w:sz w:val="26"/>
          <w:szCs w:val="26"/>
          <w:u w:color="000000"/>
        </w:rPr>
        <w:t xml:space="preserve"> </w:t>
      </w:r>
      <w:r w:rsidR="007248EC" w:rsidRPr="00615938">
        <w:rPr>
          <w:rFonts w:ascii="Garamond" w:hAnsi="Garamond" w:cs="Arial"/>
          <w:sz w:val="26"/>
          <w:szCs w:val="26"/>
          <w:u w:color="000000"/>
        </w:rPr>
        <w:t>si intende conferire</w:t>
      </w:r>
      <w:r w:rsidR="00B067E7" w:rsidRPr="00615938">
        <w:rPr>
          <w:rFonts w:ascii="Garamond" w:hAnsi="Garamond" w:cs="Arial"/>
          <w:sz w:val="26"/>
          <w:szCs w:val="26"/>
          <w:u w:color="000000"/>
        </w:rPr>
        <w:t xml:space="preserve"> </w:t>
      </w:r>
      <w:r w:rsidR="00B13611" w:rsidRPr="00615938">
        <w:rPr>
          <w:rFonts w:ascii="Garamond" w:hAnsi="Garamond" w:cs="Arial"/>
          <w:sz w:val="26"/>
          <w:szCs w:val="26"/>
          <w:u w:color="000000"/>
        </w:rPr>
        <w:t xml:space="preserve">un </w:t>
      </w:r>
      <w:r w:rsidR="00AD5197" w:rsidRPr="00615938">
        <w:rPr>
          <w:rFonts w:ascii="Garamond" w:hAnsi="Garamond" w:cs="Arial"/>
          <w:sz w:val="26"/>
          <w:szCs w:val="26"/>
          <w:u w:color="000000"/>
        </w:rPr>
        <w:t>incaric</w:t>
      </w:r>
      <w:r w:rsidR="00B067E7" w:rsidRPr="00615938">
        <w:rPr>
          <w:rFonts w:ascii="Garamond" w:hAnsi="Garamond" w:cs="Arial"/>
          <w:sz w:val="26"/>
          <w:szCs w:val="26"/>
          <w:u w:color="000000"/>
        </w:rPr>
        <w:t>o</w:t>
      </w:r>
      <w:r w:rsidR="00B64851" w:rsidRPr="00615938">
        <w:rPr>
          <w:rFonts w:ascii="Garamond" w:hAnsi="Garamond" w:cs="Arial"/>
          <w:sz w:val="26"/>
          <w:szCs w:val="26"/>
          <w:u w:color="000000"/>
        </w:rPr>
        <w:t xml:space="preserve"> - </w:t>
      </w:r>
      <w:r w:rsidR="00455F84" w:rsidRPr="00615938">
        <w:rPr>
          <w:rFonts w:ascii="Garamond" w:hAnsi="Garamond" w:cs="Arial"/>
          <w:sz w:val="26"/>
          <w:szCs w:val="26"/>
          <w:u w:color="000000"/>
        </w:rPr>
        <w:t>sui presupposti</w:t>
      </w:r>
      <w:r w:rsidR="00FC00A1" w:rsidRPr="00615938">
        <w:rPr>
          <w:rFonts w:ascii="Garamond" w:hAnsi="Garamond" w:cs="Arial"/>
          <w:sz w:val="26"/>
          <w:szCs w:val="26"/>
          <w:u w:color="000000"/>
        </w:rPr>
        <w:t xml:space="preserve"> </w:t>
      </w:r>
      <w:r w:rsidR="005F196D" w:rsidRPr="00615938">
        <w:rPr>
          <w:rFonts w:ascii="Garamond" w:hAnsi="Garamond" w:cs="Arial"/>
          <w:sz w:val="26"/>
          <w:szCs w:val="26"/>
          <w:u w:color="000000"/>
        </w:rPr>
        <w:t>rilevanti ai fini del</w:t>
      </w:r>
      <w:r w:rsidR="00B64851" w:rsidRPr="00615938">
        <w:rPr>
          <w:rFonts w:ascii="Garamond" w:hAnsi="Garamond" w:cs="Arial"/>
          <w:sz w:val="26"/>
          <w:szCs w:val="26"/>
          <w:u w:color="000000"/>
        </w:rPr>
        <w:t xml:space="preserve">la </w:t>
      </w:r>
      <w:r w:rsidR="005F196D" w:rsidRPr="00615938">
        <w:rPr>
          <w:rFonts w:ascii="Garamond" w:hAnsi="Garamond" w:cs="Arial"/>
          <w:sz w:val="26"/>
          <w:szCs w:val="26"/>
          <w:u w:color="000000"/>
        </w:rPr>
        <w:t>configura</w:t>
      </w:r>
      <w:r w:rsidR="00B64851" w:rsidRPr="00615938">
        <w:rPr>
          <w:rFonts w:ascii="Garamond" w:hAnsi="Garamond" w:cs="Arial"/>
          <w:sz w:val="26"/>
          <w:szCs w:val="26"/>
          <w:u w:color="000000"/>
        </w:rPr>
        <w:t>zione</w:t>
      </w:r>
      <w:r w:rsidR="005F196D" w:rsidRPr="00615938">
        <w:rPr>
          <w:rFonts w:ascii="Garamond" w:hAnsi="Garamond" w:cs="Arial"/>
          <w:sz w:val="26"/>
          <w:szCs w:val="26"/>
          <w:u w:color="000000"/>
        </w:rPr>
        <w:t xml:space="preserve"> delle ipotesi di inconferibilità e incompatibilità</w:t>
      </w:r>
      <w:r w:rsidR="00B64851" w:rsidRPr="00615938">
        <w:rPr>
          <w:rFonts w:ascii="Garamond" w:hAnsi="Garamond" w:cs="Arial"/>
          <w:sz w:val="26"/>
          <w:szCs w:val="26"/>
          <w:u w:color="000000"/>
        </w:rPr>
        <w:t>; questo</w:t>
      </w:r>
      <w:r w:rsidR="00FC00A1" w:rsidRPr="00615938">
        <w:rPr>
          <w:rFonts w:ascii="Garamond" w:hAnsi="Garamond" w:cs="Arial"/>
          <w:sz w:val="26"/>
          <w:szCs w:val="26"/>
          <w:u w:color="000000"/>
        </w:rPr>
        <w:t xml:space="preserve"> per consentire allo stesso di presentare correttamente le dichiarazioni ai sensi dell’art. 20 del Dlgs. n. 39/2013.</w:t>
      </w:r>
    </w:p>
    <w:p w14:paraId="5DD3A8AB" w14:textId="32BC2BE1" w:rsidR="007F74C3" w:rsidRPr="00615938" w:rsidRDefault="000E3EBA" w:rsidP="00922281">
      <w:pPr>
        <w:spacing w:after="80" w:line="276" w:lineRule="auto"/>
        <w:jc w:val="both"/>
        <w:rPr>
          <w:rFonts w:ascii="Garamond" w:hAnsi="Garamond" w:cs="Arial"/>
          <w:sz w:val="26"/>
          <w:szCs w:val="26"/>
          <w:u w:color="000000"/>
        </w:rPr>
      </w:pPr>
      <w:r w:rsidRPr="00615938">
        <w:rPr>
          <w:rFonts w:ascii="Garamond" w:hAnsi="Garamond" w:cs="Arial"/>
          <w:sz w:val="26"/>
          <w:szCs w:val="26"/>
          <w:u w:color="000000"/>
        </w:rPr>
        <w:t>Tenuto conto d</w:t>
      </w:r>
      <w:r w:rsidR="009A494D" w:rsidRPr="00615938">
        <w:rPr>
          <w:rFonts w:ascii="Garamond" w:hAnsi="Garamond" w:cs="Arial"/>
          <w:sz w:val="26"/>
          <w:szCs w:val="26"/>
          <w:u w:color="000000"/>
        </w:rPr>
        <w:t xml:space="preserve">i quanto sopra esposto </w:t>
      </w:r>
      <w:r w:rsidR="00E65978" w:rsidRPr="00615938">
        <w:rPr>
          <w:rFonts w:ascii="Garamond" w:hAnsi="Garamond" w:cs="Arial"/>
          <w:sz w:val="26"/>
          <w:szCs w:val="26"/>
          <w:u w:color="000000"/>
        </w:rPr>
        <w:t>e della importanz</w:t>
      </w:r>
      <w:r w:rsidR="00D16DA3" w:rsidRPr="00615938">
        <w:rPr>
          <w:rFonts w:ascii="Garamond" w:hAnsi="Garamond" w:cs="Arial"/>
          <w:sz w:val="26"/>
          <w:szCs w:val="26"/>
          <w:u w:color="000000"/>
        </w:rPr>
        <w:t>a</w:t>
      </w:r>
      <w:r w:rsidR="00B767F7" w:rsidRPr="00615938">
        <w:rPr>
          <w:rFonts w:ascii="Garamond" w:hAnsi="Garamond" w:cs="Arial"/>
          <w:sz w:val="26"/>
          <w:szCs w:val="26"/>
          <w:u w:color="000000"/>
        </w:rPr>
        <w:t xml:space="preserve">, ribadita da ANAC, di </w:t>
      </w:r>
      <w:r w:rsidR="00D16DA3" w:rsidRPr="00615938">
        <w:rPr>
          <w:rFonts w:ascii="Garamond" w:hAnsi="Garamond" w:cs="Arial"/>
          <w:sz w:val="26"/>
          <w:szCs w:val="26"/>
          <w:u w:color="000000"/>
        </w:rPr>
        <w:t xml:space="preserve">ricostruire le tempistiche dei controlli e gli </w:t>
      </w:r>
      <w:r w:rsidR="007D6204" w:rsidRPr="00615938">
        <w:rPr>
          <w:rFonts w:ascii="Garamond" w:hAnsi="Garamond" w:cs="Arial"/>
          <w:sz w:val="26"/>
          <w:szCs w:val="26"/>
          <w:u w:color="000000"/>
        </w:rPr>
        <w:t xml:space="preserve">snodi essenziali della procedura da seguire, </w:t>
      </w:r>
      <w:r w:rsidR="009A494D" w:rsidRPr="00615938">
        <w:rPr>
          <w:rFonts w:ascii="Garamond" w:hAnsi="Garamond" w:cs="Arial"/>
          <w:sz w:val="26"/>
          <w:szCs w:val="26"/>
          <w:u w:color="000000"/>
        </w:rPr>
        <w:t xml:space="preserve">si ritiene </w:t>
      </w:r>
      <w:r w:rsidR="00151AF6" w:rsidRPr="00615938">
        <w:rPr>
          <w:rFonts w:ascii="Garamond" w:hAnsi="Garamond" w:cs="Arial"/>
          <w:sz w:val="26"/>
          <w:szCs w:val="26"/>
          <w:u w:color="000000"/>
        </w:rPr>
        <w:t>opportuno</w:t>
      </w:r>
      <w:r w:rsidR="00ED2283" w:rsidRPr="00615938">
        <w:rPr>
          <w:rFonts w:ascii="Garamond" w:hAnsi="Garamond" w:cs="Arial"/>
          <w:sz w:val="26"/>
          <w:szCs w:val="26"/>
          <w:u w:color="000000"/>
        </w:rPr>
        <w:t xml:space="preserve"> programmare la seguente misura</w:t>
      </w:r>
      <w:r w:rsidR="00744C4E" w:rsidRPr="00615938">
        <w:rPr>
          <w:rFonts w:ascii="Garamond" w:hAnsi="Garamond" w:cs="Arial"/>
          <w:sz w:val="26"/>
          <w:szCs w:val="26"/>
          <w:u w:color="000000"/>
        </w:rPr>
        <w:t xml:space="preserve"> preventivamente condivisa con l’Ufficio </w:t>
      </w:r>
      <w:r w:rsidR="00151AF6" w:rsidRPr="000B2961">
        <w:rPr>
          <w:rFonts w:ascii="Garamond" w:hAnsi="Garamond" w:cs="Arial"/>
          <w:i/>
          <w:iCs/>
          <w:sz w:val="26"/>
          <w:szCs w:val="26"/>
          <w:u w:color="000000"/>
        </w:rPr>
        <w:t xml:space="preserve">Gestione </w:t>
      </w:r>
      <w:r w:rsidR="00744C4E" w:rsidRPr="000B2961">
        <w:rPr>
          <w:rFonts w:ascii="Garamond" w:hAnsi="Garamond" w:cs="Arial"/>
          <w:i/>
          <w:iCs/>
          <w:sz w:val="26"/>
          <w:szCs w:val="26"/>
          <w:u w:color="000000"/>
        </w:rPr>
        <w:t xml:space="preserve">del </w:t>
      </w:r>
      <w:r w:rsidR="00151AF6" w:rsidRPr="000B2961">
        <w:rPr>
          <w:rFonts w:ascii="Garamond" w:hAnsi="Garamond" w:cs="Arial"/>
          <w:i/>
          <w:iCs/>
          <w:sz w:val="26"/>
          <w:szCs w:val="26"/>
          <w:u w:color="000000"/>
        </w:rPr>
        <w:t>p</w:t>
      </w:r>
      <w:r w:rsidR="00744C4E" w:rsidRPr="000B2961">
        <w:rPr>
          <w:rFonts w:ascii="Garamond" w:hAnsi="Garamond" w:cs="Arial"/>
          <w:i/>
          <w:iCs/>
          <w:sz w:val="26"/>
          <w:szCs w:val="26"/>
          <w:u w:color="000000"/>
        </w:rPr>
        <w:t>ersonale</w:t>
      </w:r>
      <w:r w:rsidR="00ED2283" w:rsidRPr="00615938">
        <w:rPr>
          <w:rFonts w:ascii="Garamond" w:hAnsi="Garamond" w:cs="Arial"/>
          <w:sz w:val="26"/>
          <w:szCs w:val="26"/>
          <w:u w:color="000000"/>
        </w:rPr>
        <w:t>:</w:t>
      </w:r>
    </w:p>
    <w:p w14:paraId="599629CD" w14:textId="77777777" w:rsidR="00401A6A" w:rsidRPr="00615938" w:rsidRDefault="00401A6A" w:rsidP="00880341">
      <w:pPr>
        <w:spacing w:line="360" w:lineRule="auto"/>
        <w:jc w:val="both"/>
        <w:rPr>
          <w:rFonts w:ascii="Garamond" w:hAnsi="Garamond" w:cs="Arial"/>
          <w:sz w:val="26"/>
          <w:szCs w:val="26"/>
          <w:u w:color="000000"/>
        </w:rPr>
      </w:pPr>
    </w:p>
    <w:tbl>
      <w:tblPr>
        <w:tblStyle w:val="Grigliatabella"/>
        <w:tblW w:w="0" w:type="auto"/>
        <w:tblInd w:w="279" w:type="dxa"/>
        <w:tblLook w:val="04A0" w:firstRow="1" w:lastRow="0" w:firstColumn="1" w:lastColumn="0" w:noHBand="0" w:noVBand="1"/>
      </w:tblPr>
      <w:tblGrid>
        <w:gridCol w:w="2643"/>
        <w:gridCol w:w="2158"/>
        <w:gridCol w:w="2235"/>
        <w:gridCol w:w="2313"/>
      </w:tblGrid>
      <w:tr w:rsidR="0090346B" w:rsidRPr="00615938" w14:paraId="77CE4395" w14:textId="77777777" w:rsidTr="00836871">
        <w:tc>
          <w:tcPr>
            <w:tcW w:w="2643" w:type="dxa"/>
          </w:tcPr>
          <w:p w14:paraId="6987D6EF" w14:textId="33714231" w:rsidR="00401A6A" w:rsidRPr="00615938" w:rsidRDefault="0091417B" w:rsidP="004374E8">
            <w:pPr>
              <w:pStyle w:val="Paragrafoelenco"/>
              <w:ind w:left="0"/>
              <w:jc w:val="center"/>
              <w:rPr>
                <w:rFonts w:ascii="Garamond" w:hAnsi="Garamond" w:cs="Arial"/>
                <w:b/>
                <w:bCs/>
                <w:sz w:val="24"/>
                <w:szCs w:val="24"/>
                <w:u w:color="000000"/>
              </w:rPr>
            </w:pPr>
            <w:r w:rsidRPr="00615938">
              <w:rPr>
                <w:rFonts w:ascii="Garamond" w:hAnsi="Garamond" w:cs="Arial"/>
                <w:b/>
                <w:bCs/>
                <w:sz w:val="24"/>
                <w:szCs w:val="24"/>
                <w:u w:color="000000"/>
              </w:rPr>
              <w:lastRenderedPageBreak/>
              <w:t>Misura di prevenzione generale</w:t>
            </w:r>
          </w:p>
        </w:tc>
        <w:tc>
          <w:tcPr>
            <w:tcW w:w="2158" w:type="dxa"/>
          </w:tcPr>
          <w:p w14:paraId="1B4D8AE8" w14:textId="37BC93FF" w:rsidR="00401A6A" w:rsidRPr="00615938" w:rsidRDefault="0091417B" w:rsidP="004374E8">
            <w:pPr>
              <w:pStyle w:val="Paragrafoelenco"/>
              <w:ind w:left="0"/>
              <w:jc w:val="center"/>
              <w:rPr>
                <w:rFonts w:ascii="Garamond" w:hAnsi="Garamond" w:cs="Arial"/>
                <w:b/>
                <w:bCs/>
                <w:sz w:val="24"/>
                <w:szCs w:val="24"/>
                <w:u w:color="000000"/>
              </w:rPr>
            </w:pPr>
            <w:r w:rsidRPr="00615938">
              <w:rPr>
                <w:rFonts w:ascii="Garamond" w:hAnsi="Garamond" w:cs="Arial"/>
                <w:b/>
                <w:bCs/>
                <w:sz w:val="24"/>
                <w:szCs w:val="24"/>
                <w:u w:color="000000"/>
              </w:rPr>
              <w:t>Modalità di attuazione</w:t>
            </w:r>
          </w:p>
        </w:tc>
        <w:tc>
          <w:tcPr>
            <w:tcW w:w="2235" w:type="dxa"/>
          </w:tcPr>
          <w:p w14:paraId="08D6B855" w14:textId="746E8E75" w:rsidR="00401A6A" w:rsidRPr="00615938" w:rsidRDefault="0090346B" w:rsidP="004374E8">
            <w:pPr>
              <w:pStyle w:val="Paragrafoelenco"/>
              <w:ind w:left="0"/>
              <w:jc w:val="center"/>
              <w:rPr>
                <w:rFonts w:ascii="Garamond" w:hAnsi="Garamond" w:cs="Arial"/>
                <w:b/>
                <w:bCs/>
                <w:sz w:val="24"/>
                <w:szCs w:val="24"/>
                <w:u w:color="000000"/>
              </w:rPr>
            </w:pPr>
            <w:r w:rsidRPr="00615938">
              <w:rPr>
                <w:rFonts w:ascii="Garamond" w:hAnsi="Garamond" w:cs="Arial"/>
                <w:b/>
                <w:bCs/>
                <w:sz w:val="24"/>
                <w:szCs w:val="24"/>
                <w:u w:color="000000"/>
              </w:rPr>
              <w:t>Responsabile per l’adozione della misura</w:t>
            </w:r>
          </w:p>
        </w:tc>
        <w:tc>
          <w:tcPr>
            <w:tcW w:w="2313" w:type="dxa"/>
          </w:tcPr>
          <w:p w14:paraId="306A4462" w14:textId="0F68197F" w:rsidR="00401A6A" w:rsidRPr="00615938" w:rsidRDefault="0090346B" w:rsidP="004374E8">
            <w:pPr>
              <w:pStyle w:val="Paragrafoelenco"/>
              <w:ind w:left="0"/>
              <w:jc w:val="center"/>
              <w:rPr>
                <w:rFonts w:ascii="Garamond" w:hAnsi="Garamond" w:cs="Arial"/>
                <w:b/>
                <w:bCs/>
                <w:sz w:val="24"/>
                <w:szCs w:val="24"/>
                <w:u w:color="000000"/>
              </w:rPr>
            </w:pPr>
            <w:r w:rsidRPr="00615938">
              <w:rPr>
                <w:rFonts w:ascii="Garamond" w:hAnsi="Garamond" w:cs="Arial"/>
                <w:b/>
                <w:bCs/>
                <w:sz w:val="24"/>
                <w:szCs w:val="24"/>
                <w:u w:color="000000"/>
              </w:rPr>
              <w:t>Anno di programmazione</w:t>
            </w:r>
          </w:p>
        </w:tc>
      </w:tr>
      <w:tr w:rsidR="001849C1" w:rsidRPr="008E2B66" w14:paraId="7533C882" w14:textId="77777777" w:rsidTr="000B2961">
        <w:trPr>
          <w:trHeight w:val="1869"/>
        </w:trPr>
        <w:tc>
          <w:tcPr>
            <w:tcW w:w="2643" w:type="dxa"/>
          </w:tcPr>
          <w:p w14:paraId="577DBD2F" w14:textId="77777777" w:rsidR="001849C1" w:rsidRPr="000B2961" w:rsidRDefault="001849C1" w:rsidP="004374E8">
            <w:pPr>
              <w:pStyle w:val="Paragrafoelenco"/>
              <w:ind w:left="0"/>
              <w:jc w:val="center"/>
              <w:rPr>
                <w:rFonts w:ascii="Garamond" w:hAnsi="Garamond" w:cs="Arial"/>
                <w:b/>
                <w:bCs/>
                <w:sz w:val="24"/>
                <w:szCs w:val="24"/>
                <w:u w:color="000000"/>
              </w:rPr>
            </w:pPr>
          </w:p>
          <w:p w14:paraId="77A86844" w14:textId="0DCF8B12" w:rsidR="001849C1" w:rsidRPr="000B2961" w:rsidRDefault="001849C1" w:rsidP="004374E8">
            <w:pPr>
              <w:pStyle w:val="Paragrafoelenco"/>
              <w:ind w:left="0"/>
              <w:jc w:val="center"/>
              <w:rPr>
                <w:rFonts w:ascii="Garamond" w:hAnsi="Garamond" w:cs="Arial"/>
                <w:b/>
                <w:bCs/>
                <w:sz w:val="24"/>
                <w:szCs w:val="24"/>
                <w:u w:color="000000"/>
              </w:rPr>
            </w:pPr>
            <w:r w:rsidRPr="000B2961">
              <w:rPr>
                <w:rFonts w:ascii="Garamond" w:hAnsi="Garamond" w:cs="Arial"/>
                <w:b/>
                <w:bCs/>
                <w:sz w:val="24"/>
                <w:szCs w:val="24"/>
                <w:u w:color="000000"/>
              </w:rPr>
              <w:t>Inconferibilità e incompatibilità (d.lgs n. 39/2013)</w:t>
            </w:r>
          </w:p>
        </w:tc>
        <w:tc>
          <w:tcPr>
            <w:tcW w:w="2158" w:type="dxa"/>
          </w:tcPr>
          <w:p w14:paraId="12B4FB4E" w14:textId="628025AA" w:rsidR="001849C1" w:rsidRPr="000B2961" w:rsidRDefault="001849C1" w:rsidP="004374E8">
            <w:pPr>
              <w:pStyle w:val="Paragrafoelenco"/>
              <w:ind w:left="0"/>
              <w:jc w:val="center"/>
              <w:rPr>
                <w:rFonts w:ascii="Garamond" w:hAnsi="Garamond" w:cs="Arial"/>
                <w:b/>
                <w:bCs/>
                <w:sz w:val="24"/>
                <w:szCs w:val="24"/>
                <w:u w:color="000000"/>
              </w:rPr>
            </w:pPr>
            <w:r w:rsidRPr="000B2961">
              <w:rPr>
                <w:rFonts w:ascii="Garamond" w:hAnsi="Garamond" w:cs="Arial"/>
                <w:b/>
                <w:bCs/>
                <w:sz w:val="24"/>
                <w:szCs w:val="24"/>
                <w:u w:color="000000"/>
              </w:rPr>
              <w:t>Disciplinare relativo ai controlli sulle dichiarazioni rese dai Dirigenti ai sensi dell’art. 20 Dlgs. n. 39/2013</w:t>
            </w:r>
          </w:p>
        </w:tc>
        <w:tc>
          <w:tcPr>
            <w:tcW w:w="2235" w:type="dxa"/>
          </w:tcPr>
          <w:p w14:paraId="01F6A9A4" w14:textId="77777777" w:rsidR="001849C1" w:rsidRPr="000B2961" w:rsidRDefault="001849C1" w:rsidP="004374E8">
            <w:pPr>
              <w:pStyle w:val="Paragrafoelenco"/>
              <w:ind w:left="0"/>
              <w:jc w:val="center"/>
              <w:rPr>
                <w:rFonts w:ascii="Garamond" w:hAnsi="Garamond" w:cs="Arial"/>
                <w:b/>
                <w:bCs/>
                <w:sz w:val="24"/>
                <w:szCs w:val="24"/>
                <w:u w:color="000000"/>
              </w:rPr>
            </w:pPr>
          </w:p>
          <w:p w14:paraId="6ED6B93D" w14:textId="77777777" w:rsidR="001849C1" w:rsidRPr="000B2961" w:rsidRDefault="001849C1" w:rsidP="004374E8">
            <w:pPr>
              <w:pStyle w:val="Paragrafoelenco"/>
              <w:ind w:left="0"/>
              <w:jc w:val="center"/>
              <w:rPr>
                <w:rFonts w:ascii="Garamond" w:hAnsi="Garamond" w:cs="Arial"/>
                <w:b/>
                <w:bCs/>
                <w:sz w:val="24"/>
                <w:szCs w:val="24"/>
                <w:u w:color="000000"/>
              </w:rPr>
            </w:pPr>
          </w:p>
          <w:p w14:paraId="3E8D5000" w14:textId="77777777" w:rsidR="001849C1" w:rsidRPr="000B2961" w:rsidRDefault="001849C1" w:rsidP="004374E8">
            <w:pPr>
              <w:pStyle w:val="Paragrafoelenco"/>
              <w:ind w:left="0"/>
              <w:jc w:val="center"/>
              <w:rPr>
                <w:rFonts w:ascii="Garamond" w:hAnsi="Garamond" w:cs="Arial"/>
                <w:b/>
                <w:bCs/>
                <w:sz w:val="24"/>
                <w:szCs w:val="24"/>
                <w:u w:color="000000"/>
              </w:rPr>
            </w:pPr>
            <w:r w:rsidRPr="000B2961">
              <w:rPr>
                <w:rFonts w:ascii="Garamond" w:hAnsi="Garamond" w:cs="Arial"/>
                <w:b/>
                <w:bCs/>
                <w:sz w:val="24"/>
                <w:szCs w:val="24"/>
                <w:u w:color="000000"/>
              </w:rPr>
              <w:t>UDG2</w:t>
            </w:r>
          </w:p>
          <w:p w14:paraId="4419A9E4" w14:textId="4E42DDB3" w:rsidR="001849C1" w:rsidRPr="000B2961" w:rsidRDefault="001849C1" w:rsidP="004374E8">
            <w:pPr>
              <w:pStyle w:val="Paragrafoelenco"/>
              <w:ind w:left="0"/>
              <w:jc w:val="center"/>
              <w:rPr>
                <w:rFonts w:ascii="Garamond" w:hAnsi="Garamond" w:cs="Arial"/>
                <w:b/>
                <w:bCs/>
                <w:sz w:val="24"/>
                <w:szCs w:val="24"/>
                <w:u w:color="000000"/>
              </w:rPr>
            </w:pPr>
            <w:r w:rsidRPr="000B2961">
              <w:rPr>
                <w:rFonts w:ascii="Garamond" w:hAnsi="Garamond" w:cs="Arial"/>
                <w:b/>
                <w:bCs/>
                <w:sz w:val="24"/>
                <w:szCs w:val="24"/>
                <w:u w:color="000000"/>
              </w:rPr>
              <w:t>USC3</w:t>
            </w:r>
          </w:p>
        </w:tc>
        <w:tc>
          <w:tcPr>
            <w:tcW w:w="2313" w:type="dxa"/>
          </w:tcPr>
          <w:p w14:paraId="729BC077" w14:textId="77777777" w:rsidR="001849C1" w:rsidRPr="000B2961" w:rsidRDefault="001849C1" w:rsidP="004374E8">
            <w:pPr>
              <w:pStyle w:val="Paragrafoelenco"/>
              <w:ind w:left="0"/>
              <w:jc w:val="center"/>
              <w:rPr>
                <w:rFonts w:ascii="Garamond" w:hAnsi="Garamond" w:cs="Arial"/>
                <w:b/>
                <w:bCs/>
                <w:sz w:val="24"/>
                <w:szCs w:val="24"/>
                <w:u w:color="000000"/>
              </w:rPr>
            </w:pPr>
          </w:p>
          <w:p w14:paraId="27975F67" w14:textId="14215B2F" w:rsidR="001849C1" w:rsidRPr="000B2961" w:rsidRDefault="0082490A" w:rsidP="004374E8">
            <w:pPr>
              <w:pStyle w:val="Paragrafoelenco"/>
              <w:ind w:left="0"/>
              <w:jc w:val="center"/>
              <w:rPr>
                <w:rFonts w:ascii="Garamond" w:hAnsi="Garamond" w:cs="Arial"/>
                <w:b/>
                <w:bCs/>
                <w:sz w:val="24"/>
                <w:szCs w:val="24"/>
                <w:u w:color="000000"/>
              </w:rPr>
            </w:pPr>
            <w:r w:rsidRPr="000B2961">
              <w:rPr>
                <w:rFonts w:ascii="Garamond" w:hAnsi="Garamond" w:cs="Arial"/>
                <w:b/>
                <w:bCs/>
                <w:sz w:val="24"/>
                <w:szCs w:val="24"/>
                <w:u w:color="000000"/>
              </w:rPr>
              <w:t>2027</w:t>
            </w:r>
          </w:p>
        </w:tc>
      </w:tr>
    </w:tbl>
    <w:p w14:paraId="27FC724F" w14:textId="77777777" w:rsidR="00615938" w:rsidRDefault="00615938" w:rsidP="00C91D0F">
      <w:pPr>
        <w:autoSpaceDE w:val="0"/>
        <w:autoSpaceDN w:val="0"/>
        <w:adjustRightInd w:val="0"/>
        <w:spacing w:line="360" w:lineRule="auto"/>
        <w:jc w:val="both"/>
        <w:rPr>
          <w:rFonts w:ascii="Garamond" w:eastAsia="Arial Unicode MS" w:hAnsi="Garamond" w:cs="Arial"/>
          <w:b/>
          <w:bCs/>
          <w:sz w:val="26"/>
          <w:szCs w:val="26"/>
          <w:u w:color="000000"/>
          <w:bdr w:val="nil"/>
          <w:lang w:eastAsia="it-IT"/>
        </w:rPr>
      </w:pPr>
    </w:p>
    <w:p w14:paraId="1825D913" w14:textId="02C14B87" w:rsidR="005275E4" w:rsidRPr="008E2B66" w:rsidRDefault="005275E4" w:rsidP="00C91D0F">
      <w:pPr>
        <w:autoSpaceDE w:val="0"/>
        <w:autoSpaceDN w:val="0"/>
        <w:adjustRightInd w:val="0"/>
        <w:spacing w:line="360" w:lineRule="auto"/>
        <w:jc w:val="both"/>
        <w:rPr>
          <w:rFonts w:ascii="Garamond" w:eastAsia="Arial Unicode MS" w:hAnsi="Garamond" w:cs="Arial"/>
          <w:b/>
          <w:bCs/>
          <w:sz w:val="26"/>
          <w:szCs w:val="26"/>
          <w:u w:color="000000"/>
          <w:bdr w:val="nil"/>
          <w:lang w:eastAsia="it-IT"/>
        </w:rPr>
      </w:pPr>
      <w:r w:rsidRPr="008E2B66">
        <w:rPr>
          <w:rFonts w:ascii="Garamond" w:eastAsia="Arial Unicode MS" w:hAnsi="Garamond" w:cs="Arial"/>
          <w:b/>
          <w:bCs/>
          <w:sz w:val="26"/>
          <w:szCs w:val="26"/>
          <w:u w:color="000000"/>
          <w:bdr w:val="nil"/>
          <w:lang w:eastAsia="it-IT"/>
        </w:rPr>
        <w:t>Codice di comportamento</w:t>
      </w:r>
      <w:r w:rsidR="00334B40" w:rsidRPr="008E2B66">
        <w:rPr>
          <w:rFonts w:ascii="Garamond" w:eastAsia="Arial Unicode MS" w:hAnsi="Garamond" w:cs="Arial"/>
          <w:b/>
          <w:bCs/>
          <w:sz w:val="26"/>
          <w:szCs w:val="26"/>
          <w:u w:color="000000"/>
          <w:bdr w:val="nil"/>
          <w:lang w:eastAsia="it-IT"/>
        </w:rPr>
        <w:t xml:space="preserve"> </w:t>
      </w:r>
    </w:p>
    <w:p w14:paraId="436A1CE4" w14:textId="76FC1C63" w:rsidR="00FB0C3D" w:rsidRPr="008E2B66" w:rsidRDefault="00AC29FD" w:rsidP="00922281">
      <w:pPr>
        <w:spacing w:after="80" w:line="276" w:lineRule="auto"/>
        <w:jc w:val="both"/>
        <w:rPr>
          <w:rFonts w:ascii="Garamond" w:hAnsi="Garamond" w:cs="Arial"/>
          <w:sz w:val="26"/>
          <w:szCs w:val="26"/>
          <w:u w:color="000000"/>
        </w:rPr>
      </w:pPr>
      <w:r w:rsidRPr="008E2B66">
        <w:rPr>
          <w:rFonts w:ascii="Garamond" w:hAnsi="Garamond" w:cs="Arial"/>
          <w:sz w:val="26"/>
          <w:szCs w:val="26"/>
          <w:u w:color="000000"/>
        </w:rPr>
        <w:t xml:space="preserve">Con delibera del </w:t>
      </w:r>
      <w:r w:rsidR="00EC6837" w:rsidRPr="008E2B66">
        <w:rPr>
          <w:rFonts w:ascii="Garamond" w:hAnsi="Garamond" w:cs="Arial"/>
          <w:sz w:val="26"/>
          <w:szCs w:val="26"/>
          <w:u w:color="000000"/>
        </w:rPr>
        <w:t>Cd</w:t>
      </w:r>
      <w:r w:rsidR="004374E8">
        <w:rPr>
          <w:rFonts w:ascii="Garamond" w:hAnsi="Garamond" w:cs="Arial"/>
          <w:sz w:val="26"/>
          <w:szCs w:val="26"/>
          <w:u w:color="000000"/>
        </w:rPr>
        <w:t>a</w:t>
      </w:r>
      <w:r w:rsidR="00EC6837" w:rsidRPr="008E2B66">
        <w:rPr>
          <w:rFonts w:ascii="Garamond" w:hAnsi="Garamond" w:cs="Arial"/>
          <w:sz w:val="26"/>
          <w:szCs w:val="26"/>
          <w:u w:color="000000"/>
        </w:rPr>
        <w:t xml:space="preserve"> n.</w:t>
      </w:r>
      <w:r w:rsidRPr="008E2B66">
        <w:rPr>
          <w:rFonts w:ascii="Garamond" w:hAnsi="Garamond" w:cs="Arial"/>
          <w:sz w:val="26"/>
          <w:szCs w:val="26"/>
          <w:u w:color="000000"/>
        </w:rPr>
        <w:t xml:space="preserve"> 45 del 26</w:t>
      </w:r>
      <w:r w:rsidR="004374E8">
        <w:rPr>
          <w:rFonts w:ascii="Garamond" w:hAnsi="Garamond" w:cs="Arial"/>
          <w:sz w:val="26"/>
          <w:szCs w:val="26"/>
          <w:u w:color="000000"/>
        </w:rPr>
        <w:t xml:space="preserve"> luglio </w:t>
      </w:r>
      <w:r w:rsidRPr="008E2B66">
        <w:rPr>
          <w:rFonts w:ascii="Garamond" w:hAnsi="Garamond" w:cs="Arial"/>
          <w:sz w:val="26"/>
          <w:szCs w:val="26"/>
          <w:u w:color="000000"/>
        </w:rPr>
        <w:t>2024 è stato appr</w:t>
      </w:r>
      <w:r w:rsidR="00EC6837" w:rsidRPr="008E2B66">
        <w:rPr>
          <w:rFonts w:ascii="Garamond" w:hAnsi="Garamond" w:cs="Arial"/>
          <w:sz w:val="26"/>
          <w:szCs w:val="26"/>
          <w:u w:color="000000"/>
        </w:rPr>
        <w:t xml:space="preserve">ovato il </w:t>
      </w:r>
      <w:r w:rsidR="00EC6837" w:rsidRPr="004374E8">
        <w:rPr>
          <w:rFonts w:ascii="Garamond" w:hAnsi="Garamond" w:cs="Arial"/>
          <w:i/>
          <w:iCs/>
          <w:sz w:val="26"/>
          <w:szCs w:val="26"/>
          <w:u w:color="000000"/>
        </w:rPr>
        <w:t>Codice di comportamento del personale dipendente del Consiglio per la ricerca in agricoltura e l’analisi dell’economia agraria</w:t>
      </w:r>
      <w:r w:rsidR="00EC6837" w:rsidRPr="008E2B66">
        <w:rPr>
          <w:rFonts w:ascii="Garamond" w:hAnsi="Garamond" w:cs="Arial"/>
          <w:sz w:val="26"/>
          <w:szCs w:val="26"/>
          <w:u w:color="000000"/>
        </w:rPr>
        <w:t xml:space="preserve"> </w:t>
      </w:r>
      <w:r w:rsidR="00EC6837" w:rsidRPr="004374E8">
        <w:rPr>
          <w:rFonts w:ascii="Garamond" w:hAnsi="Garamond" w:cs="Arial"/>
          <w:sz w:val="26"/>
          <w:szCs w:val="26"/>
          <w:u w:color="000000"/>
        </w:rPr>
        <w:t>aggiornato.</w:t>
      </w:r>
      <w:r w:rsidR="00EC6837" w:rsidRPr="008E2B66">
        <w:rPr>
          <w:rFonts w:ascii="Garamond" w:hAnsi="Garamond" w:cs="Arial"/>
          <w:sz w:val="26"/>
          <w:szCs w:val="26"/>
          <w:u w:color="000000"/>
        </w:rPr>
        <w:t xml:space="preserve"> </w:t>
      </w:r>
      <w:r w:rsidR="004374E8">
        <w:rPr>
          <w:rFonts w:ascii="Garamond" w:hAnsi="Garamond" w:cs="Arial"/>
          <w:sz w:val="26"/>
          <w:szCs w:val="26"/>
          <w:u w:color="000000"/>
        </w:rPr>
        <w:t>Questo</w:t>
      </w:r>
      <w:r w:rsidR="00EC6837" w:rsidRPr="008E2B66">
        <w:rPr>
          <w:rFonts w:ascii="Garamond" w:hAnsi="Garamond" w:cs="Arial"/>
          <w:sz w:val="26"/>
          <w:szCs w:val="26"/>
          <w:u w:color="000000"/>
        </w:rPr>
        <w:t xml:space="preserve"> Codice ha abrogato </w:t>
      </w:r>
      <w:r w:rsidR="00C97316" w:rsidRPr="008E2B66">
        <w:rPr>
          <w:rFonts w:ascii="Garamond" w:hAnsi="Garamond" w:cs="Arial"/>
          <w:sz w:val="26"/>
          <w:szCs w:val="26"/>
          <w:u w:color="000000"/>
        </w:rPr>
        <w:t>il precedente</w:t>
      </w:r>
      <w:r w:rsidR="004374E8">
        <w:rPr>
          <w:rFonts w:ascii="Garamond" w:hAnsi="Garamond" w:cs="Arial"/>
          <w:sz w:val="26"/>
          <w:szCs w:val="26"/>
          <w:u w:color="000000"/>
        </w:rPr>
        <w:t>,</w:t>
      </w:r>
      <w:r w:rsidR="00C97316" w:rsidRPr="008E2B66">
        <w:rPr>
          <w:rFonts w:ascii="Garamond" w:hAnsi="Garamond" w:cs="Arial"/>
          <w:sz w:val="26"/>
          <w:szCs w:val="26"/>
          <w:u w:color="000000"/>
        </w:rPr>
        <w:t xml:space="preserve"> </w:t>
      </w:r>
      <w:r w:rsidR="00EC6837" w:rsidRPr="008E2B66">
        <w:rPr>
          <w:rFonts w:ascii="Garamond" w:hAnsi="Garamond" w:cs="Arial"/>
          <w:sz w:val="26"/>
          <w:szCs w:val="26"/>
          <w:u w:color="000000"/>
        </w:rPr>
        <w:t>approvato con delibera del Cd</w:t>
      </w:r>
      <w:r w:rsidR="004374E8">
        <w:rPr>
          <w:rFonts w:ascii="Garamond" w:hAnsi="Garamond" w:cs="Arial"/>
          <w:sz w:val="26"/>
          <w:szCs w:val="26"/>
          <w:u w:color="000000"/>
        </w:rPr>
        <w:t>a</w:t>
      </w:r>
      <w:r w:rsidR="00EC6837" w:rsidRPr="008E2B66">
        <w:rPr>
          <w:rFonts w:ascii="Garamond" w:hAnsi="Garamond" w:cs="Arial"/>
          <w:sz w:val="26"/>
          <w:szCs w:val="26"/>
          <w:u w:color="000000"/>
        </w:rPr>
        <w:t xml:space="preserve"> n. 66 del 2017.</w:t>
      </w:r>
    </w:p>
    <w:p w14:paraId="1FC65688" w14:textId="4B8D9241" w:rsidR="00AB34B2" w:rsidRPr="008E2B66" w:rsidRDefault="00EC6837" w:rsidP="00922281">
      <w:pPr>
        <w:spacing w:after="80" w:line="276" w:lineRule="auto"/>
        <w:jc w:val="both"/>
        <w:rPr>
          <w:rFonts w:ascii="Garamond" w:hAnsi="Garamond" w:cs="Arial"/>
          <w:sz w:val="26"/>
          <w:szCs w:val="26"/>
          <w:u w:color="000000"/>
        </w:rPr>
      </w:pPr>
      <w:r w:rsidRPr="008E2B66">
        <w:rPr>
          <w:rFonts w:ascii="Garamond" w:hAnsi="Garamond" w:cs="Arial"/>
          <w:sz w:val="26"/>
          <w:szCs w:val="26"/>
          <w:u w:color="000000"/>
        </w:rPr>
        <w:t>Con nota prot. n. 68133 del 29</w:t>
      </w:r>
      <w:r w:rsidR="00CF43E0">
        <w:rPr>
          <w:rFonts w:ascii="Garamond" w:hAnsi="Garamond" w:cs="Arial"/>
          <w:sz w:val="26"/>
          <w:szCs w:val="26"/>
          <w:u w:color="000000"/>
        </w:rPr>
        <w:t xml:space="preserve"> luglio </w:t>
      </w:r>
      <w:r w:rsidRPr="008E2B66">
        <w:rPr>
          <w:rFonts w:ascii="Garamond" w:hAnsi="Garamond" w:cs="Arial"/>
          <w:sz w:val="26"/>
          <w:szCs w:val="26"/>
          <w:u w:color="000000"/>
        </w:rPr>
        <w:t xml:space="preserve">2024 l’Ufficio </w:t>
      </w:r>
      <w:r w:rsidR="00566AE6" w:rsidRPr="00CF43E0">
        <w:rPr>
          <w:rFonts w:ascii="Garamond" w:hAnsi="Garamond" w:cs="Arial"/>
          <w:i/>
          <w:iCs/>
          <w:sz w:val="26"/>
          <w:szCs w:val="26"/>
          <w:u w:color="000000"/>
        </w:rPr>
        <w:t>T</w:t>
      </w:r>
      <w:r w:rsidRPr="00CF43E0">
        <w:rPr>
          <w:rFonts w:ascii="Garamond" w:hAnsi="Garamond" w:cs="Arial"/>
          <w:i/>
          <w:iCs/>
          <w:sz w:val="26"/>
          <w:szCs w:val="26"/>
          <w:u w:color="000000"/>
        </w:rPr>
        <w:t>rasparenza e anticorruzione</w:t>
      </w:r>
      <w:r w:rsidR="00CF43E0">
        <w:rPr>
          <w:rFonts w:ascii="Garamond" w:hAnsi="Garamond" w:cs="Arial"/>
          <w:i/>
          <w:iCs/>
          <w:sz w:val="26"/>
          <w:szCs w:val="26"/>
          <w:u w:color="000000"/>
        </w:rPr>
        <w:t xml:space="preserve"> </w:t>
      </w:r>
      <w:r w:rsidR="000603F3" w:rsidRPr="00CF43E0">
        <w:rPr>
          <w:rFonts w:ascii="Garamond" w:hAnsi="Garamond" w:cs="Arial"/>
          <w:i/>
          <w:iCs/>
          <w:sz w:val="26"/>
          <w:szCs w:val="26"/>
          <w:u w:color="000000"/>
        </w:rPr>
        <w:t>UDG2</w:t>
      </w:r>
      <w:r w:rsidR="000603F3" w:rsidRPr="008E2B66">
        <w:rPr>
          <w:rFonts w:ascii="Garamond" w:hAnsi="Garamond" w:cs="Arial"/>
          <w:sz w:val="26"/>
          <w:szCs w:val="26"/>
          <w:u w:color="000000"/>
        </w:rPr>
        <w:t xml:space="preserve"> </w:t>
      </w:r>
      <w:r w:rsidRPr="008E2B66">
        <w:rPr>
          <w:rFonts w:ascii="Garamond" w:hAnsi="Garamond" w:cs="Arial"/>
          <w:sz w:val="26"/>
          <w:szCs w:val="26"/>
          <w:u w:color="000000"/>
        </w:rPr>
        <w:t xml:space="preserve">ha trasmesso il Codice aggiornato al personale </w:t>
      </w:r>
      <w:r w:rsidR="00CF43E0">
        <w:rPr>
          <w:rFonts w:ascii="Garamond" w:hAnsi="Garamond" w:cs="Arial"/>
          <w:sz w:val="26"/>
          <w:szCs w:val="26"/>
          <w:u w:color="000000"/>
        </w:rPr>
        <w:t xml:space="preserve">dell’Ente, </w:t>
      </w:r>
      <w:r w:rsidRPr="008E2B66">
        <w:rPr>
          <w:rFonts w:ascii="Garamond" w:hAnsi="Garamond" w:cs="Arial"/>
          <w:sz w:val="26"/>
          <w:szCs w:val="26"/>
          <w:u w:color="000000"/>
        </w:rPr>
        <w:t>ricordando che “</w:t>
      </w:r>
      <w:r w:rsidRPr="00CF43E0">
        <w:rPr>
          <w:rFonts w:ascii="Garamond" w:hAnsi="Garamond" w:cs="Arial"/>
          <w:i/>
          <w:iCs/>
          <w:sz w:val="26"/>
          <w:szCs w:val="26"/>
          <w:u w:color="000000"/>
        </w:rPr>
        <w:t>Tutto il personale dipendente è tenuto a rispettare gli obblighi previsti dal Codice e a darne attuazione per quanto di rispettiva competenza; analogo obbligo sussiste per gli altri soggetti indicati all’art. 2 del medesimo</w:t>
      </w:r>
      <w:r w:rsidRPr="008E2B66">
        <w:rPr>
          <w:rFonts w:ascii="Garamond" w:hAnsi="Garamond" w:cs="Arial"/>
          <w:sz w:val="26"/>
          <w:szCs w:val="26"/>
          <w:u w:color="000000"/>
        </w:rPr>
        <w:t>”</w:t>
      </w:r>
      <w:r w:rsidR="00CF43E0">
        <w:rPr>
          <w:rFonts w:ascii="Garamond" w:hAnsi="Garamond" w:cs="Arial"/>
          <w:sz w:val="26"/>
          <w:szCs w:val="26"/>
          <w:u w:color="000000"/>
        </w:rPr>
        <w:t>,</w:t>
      </w:r>
      <w:r w:rsidRPr="008E2B66">
        <w:rPr>
          <w:rFonts w:ascii="Garamond" w:hAnsi="Garamond" w:cs="Arial"/>
          <w:sz w:val="26"/>
          <w:szCs w:val="26"/>
          <w:u w:color="000000"/>
        </w:rPr>
        <w:t xml:space="preserve"> invi</w:t>
      </w:r>
      <w:r w:rsidR="00503AC0" w:rsidRPr="008E2B66">
        <w:rPr>
          <w:rFonts w:ascii="Garamond" w:hAnsi="Garamond" w:cs="Arial"/>
          <w:sz w:val="26"/>
          <w:szCs w:val="26"/>
          <w:u w:color="000000"/>
        </w:rPr>
        <w:t>t</w:t>
      </w:r>
      <w:r w:rsidRPr="008E2B66">
        <w:rPr>
          <w:rFonts w:ascii="Garamond" w:hAnsi="Garamond" w:cs="Arial"/>
          <w:sz w:val="26"/>
          <w:szCs w:val="26"/>
          <w:u w:color="000000"/>
        </w:rPr>
        <w:t xml:space="preserve">ando i Dirigenti e i Direttori </w:t>
      </w:r>
      <w:r w:rsidR="00CF43E0">
        <w:rPr>
          <w:rFonts w:ascii="Garamond" w:hAnsi="Garamond" w:cs="Arial"/>
          <w:sz w:val="26"/>
          <w:szCs w:val="26"/>
          <w:u w:color="000000"/>
        </w:rPr>
        <w:t xml:space="preserve">dei Centri di ricerca </w:t>
      </w:r>
      <w:r w:rsidRPr="008E2B66">
        <w:rPr>
          <w:rFonts w:ascii="Garamond" w:hAnsi="Garamond" w:cs="Arial"/>
          <w:sz w:val="26"/>
          <w:szCs w:val="26"/>
          <w:u w:color="000000"/>
        </w:rPr>
        <w:t>a dar</w:t>
      </w:r>
      <w:r w:rsidR="00CF43E0">
        <w:rPr>
          <w:rFonts w:ascii="Garamond" w:hAnsi="Garamond" w:cs="Arial"/>
          <w:sz w:val="26"/>
          <w:szCs w:val="26"/>
          <w:u w:color="000000"/>
        </w:rPr>
        <w:t>ne</w:t>
      </w:r>
      <w:r w:rsidRPr="008E2B66">
        <w:rPr>
          <w:rFonts w:ascii="Garamond" w:hAnsi="Garamond" w:cs="Arial"/>
          <w:sz w:val="26"/>
          <w:szCs w:val="26"/>
          <w:u w:color="000000"/>
        </w:rPr>
        <w:t xml:space="preserve"> la massima diffusione al Codice e a</w:t>
      </w:r>
      <w:r w:rsidR="00CF43E0">
        <w:rPr>
          <w:rFonts w:ascii="Garamond" w:hAnsi="Garamond" w:cs="Arial"/>
          <w:sz w:val="26"/>
          <w:szCs w:val="26"/>
          <w:u w:color="000000"/>
        </w:rPr>
        <w:t>d inviarlo</w:t>
      </w:r>
      <w:r w:rsidRPr="008E2B66">
        <w:rPr>
          <w:rFonts w:ascii="Garamond" w:hAnsi="Garamond" w:cs="Arial"/>
          <w:sz w:val="26"/>
          <w:szCs w:val="26"/>
          <w:u w:color="000000"/>
        </w:rPr>
        <w:t xml:space="preserve"> a tutti i destinatari indicati nel</w:t>
      </w:r>
      <w:r w:rsidR="00503AC0" w:rsidRPr="008E2B66">
        <w:rPr>
          <w:rFonts w:ascii="Garamond" w:hAnsi="Garamond" w:cs="Arial"/>
          <w:sz w:val="26"/>
          <w:szCs w:val="26"/>
          <w:u w:color="000000"/>
        </w:rPr>
        <w:t>l’</w:t>
      </w:r>
      <w:r w:rsidRPr="008E2B66">
        <w:rPr>
          <w:rFonts w:ascii="Garamond" w:hAnsi="Garamond" w:cs="Arial"/>
          <w:sz w:val="26"/>
          <w:szCs w:val="26"/>
          <w:u w:color="000000"/>
        </w:rPr>
        <w:t>art</w:t>
      </w:r>
      <w:r w:rsidR="00893487">
        <w:rPr>
          <w:rFonts w:ascii="Garamond" w:hAnsi="Garamond" w:cs="Arial"/>
          <w:sz w:val="26"/>
          <w:szCs w:val="26"/>
          <w:u w:color="000000"/>
        </w:rPr>
        <w:t>icolo</w:t>
      </w:r>
      <w:r w:rsidR="00AB34B2">
        <w:rPr>
          <w:rFonts w:ascii="Garamond" w:hAnsi="Garamond" w:cs="Arial"/>
          <w:sz w:val="26"/>
          <w:szCs w:val="26"/>
          <w:u w:color="000000"/>
        </w:rPr>
        <w:t xml:space="preserve"> 2.</w:t>
      </w:r>
    </w:p>
    <w:p w14:paraId="04198775" w14:textId="1266A88A" w:rsidR="00503AC0" w:rsidRPr="00CF43E0" w:rsidRDefault="00503AC0" w:rsidP="00922281">
      <w:pPr>
        <w:spacing w:after="80" w:line="276" w:lineRule="auto"/>
        <w:jc w:val="both"/>
        <w:rPr>
          <w:rFonts w:ascii="Garamond" w:hAnsi="Garamond" w:cs="Arial"/>
          <w:i/>
          <w:iCs/>
          <w:sz w:val="26"/>
          <w:szCs w:val="26"/>
          <w:u w:color="000000"/>
        </w:rPr>
      </w:pPr>
      <w:r w:rsidRPr="008E2B66">
        <w:rPr>
          <w:rFonts w:ascii="Garamond" w:hAnsi="Garamond" w:cs="Arial"/>
          <w:sz w:val="26"/>
          <w:szCs w:val="26"/>
          <w:u w:color="000000"/>
        </w:rPr>
        <w:t xml:space="preserve">Con </w:t>
      </w:r>
      <w:r w:rsidR="00C97316" w:rsidRPr="008E2B66">
        <w:rPr>
          <w:rFonts w:ascii="Garamond" w:hAnsi="Garamond" w:cs="Arial"/>
          <w:sz w:val="26"/>
          <w:szCs w:val="26"/>
          <w:u w:color="000000"/>
        </w:rPr>
        <w:t xml:space="preserve">successiva </w:t>
      </w:r>
      <w:r w:rsidRPr="008E2B66">
        <w:rPr>
          <w:rFonts w:ascii="Garamond" w:hAnsi="Garamond" w:cs="Arial"/>
          <w:sz w:val="26"/>
          <w:szCs w:val="26"/>
          <w:u w:color="000000"/>
        </w:rPr>
        <w:t xml:space="preserve">nota </w:t>
      </w:r>
      <w:bookmarkStart w:id="4" w:name="_Hlk181805005"/>
      <w:r w:rsidRPr="008E2B66">
        <w:rPr>
          <w:rFonts w:ascii="Garamond" w:hAnsi="Garamond" w:cs="Arial"/>
          <w:sz w:val="26"/>
          <w:szCs w:val="26"/>
          <w:u w:color="000000"/>
        </w:rPr>
        <w:t>prot. n. 85895 del 04</w:t>
      </w:r>
      <w:r w:rsidR="00CF43E0">
        <w:rPr>
          <w:rFonts w:ascii="Garamond" w:hAnsi="Garamond" w:cs="Arial"/>
          <w:sz w:val="26"/>
          <w:szCs w:val="26"/>
          <w:u w:color="000000"/>
        </w:rPr>
        <w:t xml:space="preserve"> ottobre</w:t>
      </w:r>
      <w:r w:rsidR="00D637E7">
        <w:rPr>
          <w:rFonts w:ascii="Garamond" w:hAnsi="Garamond" w:cs="Arial"/>
          <w:sz w:val="26"/>
          <w:szCs w:val="26"/>
          <w:u w:color="000000"/>
        </w:rPr>
        <w:t xml:space="preserve"> </w:t>
      </w:r>
      <w:r w:rsidRPr="008E2B66">
        <w:rPr>
          <w:rFonts w:ascii="Garamond" w:hAnsi="Garamond" w:cs="Arial"/>
          <w:sz w:val="26"/>
          <w:szCs w:val="26"/>
          <w:u w:color="000000"/>
        </w:rPr>
        <w:t>2024</w:t>
      </w:r>
      <w:bookmarkEnd w:id="4"/>
      <w:r w:rsidRPr="008E2B66">
        <w:rPr>
          <w:rFonts w:ascii="Garamond" w:hAnsi="Garamond" w:cs="Arial"/>
          <w:sz w:val="26"/>
          <w:szCs w:val="26"/>
          <w:u w:color="000000"/>
        </w:rPr>
        <w:t xml:space="preserve"> </w:t>
      </w:r>
      <w:r w:rsidR="00785036" w:rsidRPr="008E2B66">
        <w:rPr>
          <w:rFonts w:ascii="Garamond" w:hAnsi="Garamond" w:cs="Arial"/>
          <w:sz w:val="26"/>
          <w:szCs w:val="26"/>
          <w:u w:color="000000"/>
        </w:rPr>
        <w:t>il medesimo</w:t>
      </w:r>
      <w:r w:rsidR="00785036" w:rsidRPr="008E2B66">
        <w:rPr>
          <w:rFonts w:ascii="Garamond" w:hAnsi="Garamond" w:cs="Arial"/>
          <w:b/>
          <w:bCs/>
          <w:sz w:val="26"/>
          <w:szCs w:val="26"/>
          <w:u w:color="000000"/>
        </w:rPr>
        <w:t xml:space="preserve"> </w:t>
      </w:r>
      <w:r w:rsidRPr="008E2B66">
        <w:rPr>
          <w:rFonts w:ascii="Garamond" w:hAnsi="Garamond" w:cs="Arial"/>
          <w:sz w:val="26"/>
          <w:szCs w:val="26"/>
          <w:u w:color="000000"/>
        </w:rPr>
        <w:t xml:space="preserve">Ufficio ha trasmesso al personale appositi </w:t>
      </w:r>
      <w:bookmarkStart w:id="5" w:name="_Hlk181805025"/>
      <w:r w:rsidRPr="008E2B66">
        <w:rPr>
          <w:rFonts w:ascii="Garamond" w:hAnsi="Garamond" w:cs="Arial"/>
          <w:sz w:val="26"/>
          <w:szCs w:val="26"/>
          <w:u w:color="000000"/>
        </w:rPr>
        <w:t>modelli di comunicazione e dichiarazione</w:t>
      </w:r>
      <w:r w:rsidR="00C97316" w:rsidRPr="008E2B66">
        <w:rPr>
          <w:rFonts w:ascii="Garamond" w:hAnsi="Garamond"/>
          <w:sz w:val="26"/>
          <w:szCs w:val="26"/>
        </w:rPr>
        <w:t xml:space="preserve"> </w:t>
      </w:r>
      <w:bookmarkEnd w:id="5"/>
      <w:r w:rsidR="00C97316" w:rsidRPr="008E2B66">
        <w:rPr>
          <w:rFonts w:ascii="Garamond" w:hAnsi="Garamond" w:cs="Arial"/>
          <w:sz w:val="26"/>
          <w:szCs w:val="26"/>
          <w:u w:color="000000"/>
        </w:rPr>
        <w:t xml:space="preserve">riguardanti alcune disposizioni del Codice </w:t>
      </w:r>
      <w:r w:rsidR="00785036" w:rsidRPr="008E2B66">
        <w:rPr>
          <w:rFonts w:ascii="Garamond" w:hAnsi="Garamond" w:cs="Arial"/>
          <w:sz w:val="26"/>
          <w:szCs w:val="26"/>
          <w:u w:color="000000"/>
        </w:rPr>
        <w:t>sul</w:t>
      </w:r>
      <w:r w:rsidR="00785036" w:rsidRPr="008E2B66">
        <w:rPr>
          <w:rFonts w:ascii="Garamond" w:hAnsi="Garamond" w:cs="Arial"/>
          <w:b/>
          <w:bCs/>
          <w:sz w:val="26"/>
          <w:szCs w:val="26"/>
          <w:u w:color="000000"/>
        </w:rPr>
        <w:t xml:space="preserve"> </w:t>
      </w:r>
      <w:r w:rsidR="00C97316" w:rsidRPr="00CF43E0">
        <w:rPr>
          <w:rFonts w:ascii="Garamond" w:hAnsi="Garamond" w:cs="Arial"/>
          <w:i/>
          <w:iCs/>
          <w:sz w:val="26"/>
          <w:szCs w:val="26"/>
          <w:u w:color="000000"/>
        </w:rPr>
        <w:t>conflitto di interessi</w:t>
      </w:r>
      <w:r w:rsidR="00C97316" w:rsidRPr="008E2B66">
        <w:rPr>
          <w:rFonts w:ascii="Garamond" w:hAnsi="Garamond" w:cs="Arial"/>
          <w:sz w:val="26"/>
          <w:szCs w:val="26"/>
          <w:u w:color="000000"/>
        </w:rPr>
        <w:t xml:space="preserve"> (artt. 5, 6, 7, 13, co. 2 lett. B). </w:t>
      </w:r>
      <w:r w:rsidR="00CF43E0">
        <w:rPr>
          <w:rFonts w:ascii="Garamond" w:hAnsi="Garamond" w:cs="Arial"/>
          <w:sz w:val="26"/>
          <w:szCs w:val="26"/>
          <w:u w:color="000000"/>
        </w:rPr>
        <w:t>Tali</w:t>
      </w:r>
      <w:r w:rsidR="00D637E7">
        <w:rPr>
          <w:rFonts w:ascii="Garamond" w:hAnsi="Garamond" w:cs="Arial"/>
          <w:sz w:val="26"/>
          <w:szCs w:val="26"/>
          <w:u w:color="000000"/>
        </w:rPr>
        <w:t xml:space="preserve"> </w:t>
      </w:r>
      <w:r w:rsidR="00C97316" w:rsidRPr="008E2B66">
        <w:rPr>
          <w:rFonts w:ascii="Garamond" w:hAnsi="Garamond" w:cs="Arial"/>
          <w:sz w:val="26"/>
          <w:szCs w:val="26"/>
          <w:u w:color="000000"/>
        </w:rPr>
        <w:t>modelli</w:t>
      </w:r>
      <w:r w:rsidRPr="008E2B66">
        <w:rPr>
          <w:rFonts w:ascii="Garamond" w:hAnsi="Garamond" w:cs="Arial"/>
          <w:sz w:val="26"/>
          <w:szCs w:val="26"/>
          <w:u w:color="000000"/>
        </w:rPr>
        <w:t xml:space="preserve"> sono</w:t>
      </w:r>
      <w:r w:rsidR="005C695A" w:rsidRPr="008E2B66">
        <w:rPr>
          <w:rFonts w:ascii="Garamond" w:hAnsi="Garamond" w:cs="Arial"/>
          <w:sz w:val="26"/>
          <w:szCs w:val="26"/>
          <w:u w:color="000000"/>
        </w:rPr>
        <w:t xml:space="preserve"> </w:t>
      </w:r>
      <w:r w:rsidRPr="008E2B66">
        <w:rPr>
          <w:rFonts w:ascii="Garamond" w:hAnsi="Garamond" w:cs="Arial"/>
          <w:sz w:val="26"/>
          <w:szCs w:val="26"/>
          <w:u w:color="000000"/>
        </w:rPr>
        <w:t xml:space="preserve">pubblicati anche </w:t>
      </w:r>
      <w:r w:rsidR="00DB52B6" w:rsidRPr="008E2B66">
        <w:rPr>
          <w:rFonts w:ascii="Garamond" w:hAnsi="Garamond" w:cs="Arial"/>
          <w:sz w:val="26"/>
          <w:szCs w:val="26"/>
          <w:u w:color="000000"/>
        </w:rPr>
        <w:t xml:space="preserve">in </w:t>
      </w:r>
      <w:r w:rsidR="00DB52B6" w:rsidRPr="008E2B66">
        <w:rPr>
          <w:rFonts w:ascii="Garamond" w:hAnsi="Garamond" w:cs="Arial"/>
          <w:i/>
          <w:iCs/>
          <w:sz w:val="26"/>
          <w:szCs w:val="26"/>
          <w:u w:color="000000"/>
        </w:rPr>
        <w:t>Amministrazione Trasparente/</w:t>
      </w:r>
      <w:r w:rsidR="006617D4" w:rsidRPr="008E2B66">
        <w:rPr>
          <w:rFonts w:ascii="Garamond" w:hAnsi="Garamond" w:cs="Arial"/>
          <w:i/>
          <w:iCs/>
          <w:sz w:val="26"/>
          <w:szCs w:val="26"/>
          <w:u w:color="000000"/>
        </w:rPr>
        <w:t>Disposizioni generali/Atti generali</w:t>
      </w:r>
      <w:r w:rsidR="006617D4" w:rsidRPr="008E2B66">
        <w:rPr>
          <w:rFonts w:ascii="Garamond" w:hAnsi="Garamond" w:cs="Arial"/>
          <w:sz w:val="26"/>
          <w:szCs w:val="26"/>
          <w:u w:color="000000"/>
        </w:rPr>
        <w:t xml:space="preserve"> sotto la voce </w:t>
      </w:r>
      <w:r w:rsidR="006617D4" w:rsidRPr="00CF43E0">
        <w:rPr>
          <w:rFonts w:ascii="Garamond" w:hAnsi="Garamond" w:cs="Arial"/>
          <w:i/>
          <w:iCs/>
          <w:sz w:val="26"/>
          <w:szCs w:val="26"/>
          <w:u w:color="000000"/>
        </w:rPr>
        <w:t xml:space="preserve">Codice Disciplinare e Codice di </w:t>
      </w:r>
      <w:r w:rsidR="00893487">
        <w:rPr>
          <w:rFonts w:ascii="Garamond" w:hAnsi="Garamond" w:cs="Arial"/>
          <w:i/>
          <w:iCs/>
          <w:sz w:val="26"/>
          <w:szCs w:val="26"/>
          <w:u w:color="000000"/>
        </w:rPr>
        <w:t>c</w:t>
      </w:r>
      <w:r w:rsidR="006617D4" w:rsidRPr="00CF43E0">
        <w:rPr>
          <w:rFonts w:ascii="Garamond" w:hAnsi="Garamond" w:cs="Arial"/>
          <w:i/>
          <w:iCs/>
          <w:sz w:val="26"/>
          <w:szCs w:val="26"/>
          <w:u w:color="000000"/>
        </w:rPr>
        <w:t>ondotta</w:t>
      </w:r>
      <w:r w:rsidR="00DB52B6" w:rsidRPr="00CF43E0">
        <w:rPr>
          <w:rStyle w:val="Rimandonotaapidipagina"/>
          <w:rFonts w:ascii="Garamond" w:hAnsi="Garamond" w:cs="Arial"/>
          <w:i/>
          <w:iCs/>
          <w:sz w:val="26"/>
          <w:szCs w:val="26"/>
          <w:u w:color="000000"/>
        </w:rPr>
        <w:footnoteReference w:id="5"/>
      </w:r>
      <w:r w:rsidR="00DB52B6" w:rsidRPr="00CF43E0">
        <w:rPr>
          <w:rFonts w:ascii="Garamond" w:hAnsi="Garamond" w:cs="Arial"/>
          <w:i/>
          <w:iCs/>
          <w:sz w:val="26"/>
          <w:szCs w:val="26"/>
          <w:u w:color="000000"/>
        </w:rPr>
        <w:t>.</w:t>
      </w:r>
    </w:p>
    <w:p w14:paraId="7E4FAF49" w14:textId="6DE0460A" w:rsidR="00D44289" w:rsidRDefault="00785036" w:rsidP="00922281">
      <w:pPr>
        <w:spacing w:after="80" w:line="276" w:lineRule="auto"/>
        <w:jc w:val="both"/>
        <w:rPr>
          <w:rFonts w:ascii="Garamond" w:hAnsi="Garamond" w:cs="Arial"/>
          <w:sz w:val="26"/>
          <w:szCs w:val="26"/>
          <w:u w:color="000000"/>
        </w:rPr>
      </w:pPr>
      <w:r w:rsidRPr="008E2B66">
        <w:rPr>
          <w:rFonts w:ascii="Garamond" w:hAnsi="Garamond" w:cs="Arial"/>
          <w:sz w:val="26"/>
          <w:szCs w:val="26"/>
          <w:u w:color="000000"/>
        </w:rPr>
        <w:t xml:space="preserve">Infine, </w:t>
      </w:r>
      <w:r w:rsidR="000971A3" w:rsidRPr="008E2B66">
        <w:rPr>
          <w:rFonts w:ascii="Garamond" w:hAnsi="Garamond" w:cs="Arial"/>
          <w:sz w:val="26"/>
          <w:szCs w:val="26"/>
          <w:u w:color="000000"/>
        </w:rPr>
        <w:t>con</w:t>
      </w:r>
      <w:r w:rsidR="000971A3" w:rsidRPr="008E2B66">
        <w:rPr>
          <w:rFonts w:ascii="Garamond" w:hAnsi="Garamond" w:cs="Arial"/>
          <w:b/>
          <w:bCs/>
          <w:sz w:val="26"/>
          <w:szCs w:val="26"/>
          <w:u w:color="000000"/>
        </w:rPr>
        <w:t xml:space="preserve"> </w:t>
      </w:r>
      <w:r w:rsidR="000971A3" w:rsidRPr="008E2B66">
        <w:rPr>
          <w:rFonts w:ascii="Garamond" w:hAnsi="Garamond" w:cs="Arial"/>
          <w:sz w:val="26"/>
          <w:szCs w:val="26"/>
          <w:u w:color="000000"/>
        </w:rPr>
        <w:t>nota</w:t>
      </w:r>
      <w:r w:rsidR="00503AC0" w:rsidRPr="008E2B66">
        <w:rPr>
          <w:rFonts w:ascii="Garamond" w:hAnsi="Garamond" w:cs="Arial"/>
          <w:sz w:val="26"/>
          <w:szCs w:val="26"/>
          <w:u w:color="000000"/>
        </w:rPr>
        <w:t xml:space="preserve"> prot. n.</w:t>
      </w:r>
      <w:r w:rsidR="00B62408" w:rsidRPr="008E2B66">
        <w:rPr>
          <w:rFonts w:ascii="Garamond" w:hAnsi="Garamond" w:cs="Arial"/>
          <w:sz w:val="26"/>
          <w:szCs w:val="26"/>
          <w:u w:color="000000"/>
        </w:rPr>
        <w:t xml:space="preserve"> 94427 del 29</w:t>
      </w:r>
      <w:r w:rsidR="00CF43E0">
        <w:rPr>
          <w:rFonts w:ascii="Garamond" w:hAnsi="Garamond" w:cs="Arial"/>
          <w:sz w:val="26"/>
          <w:szCs w:val="26"/>
          <w:u w:color="000000"/>
        </w:rPr>
        <w:t xml:space="preserve"> ottobre </w:t>
      </w:r>
      <w:r w:rsidR="00B62408" w:rsidRPr="008E2B66">
        <w:rPr>
          <w:rFonts w:ascii="Garamond" w:hAnsi="Garamond" w:cs="Arial"/>
          <w:sz w:val="26"/>
          <w:szCs w:val="26"/>
          <w:u w:color="000000"/>
        </w:rPr>
        <w:t>2024</w:t>
      </w:r>
      <w:r w:rsidR="00923897" w:rsidRPr="008E2B66">
        <w:rPr>
          <w:rFonts w:ascii="Garamond" w:hAnsi="Garamond" w:cs="Arial"/>
          <w:sz w:val="26"/>
          <w:szCs w:val="26"/>
          <w:u w:color="000000"/>
        </w:rPr>
        <w:t xml:space="preserve"> </w:t>
      </w:r>
      <w:r w:rsidR="00B62408" w:rsidRPr="008E2B66">
        <w:rPr>
          <w:rFonts w:ascii="Garamond" w:hAnsi="Garamond" w:cs="Arial"/>
          <w:sz w:val="26"/>
          <w:szCs w:val="26"/>
          <w:u w:color="000000"/>
        </w:rPr>
        <w:t xml:space="preserve">è stata </w:t>
      </w:r>
      <w:r w:rsidRPr="008E2B66">
        <w:rPr>
          <w:rFonts w:ascii="Garamond" w:hAnsi="Garamond" w:cs="Arial"/>
          <w:sz w:val="26"/>
          <w:szCs w:val="26"/>
          <w:u w:color="000000"/>
        </w:rPr>
        <w:t>evidenziata</w:t>
      </w:r>
      <w:r w:rsidR="00B62408" w:rsidRPr="008E2B66">
        <w:rPr>
          <w:rFonts w:ascii="Garamond" w:hAnsi="Garamond" w:cs="Arial"/>
          <w:sz w:val="26"/>
          <w:szCs w:val="26"/>
          <w:u w:color="000000"/>
        </w:rPr>
        <w:t xml:space="preserve"> ai Dirigenti e ai Direttori dei Centri la </w:t>
      </w:r>
      <w:r w:rsidRPr="008E2B66">
        <w:rPr>
          <w:rFonts w:ascii="Garamond" w:hAnsi="Garamond" w:cs="Arial"/>
          <w:sz w:val="26"/>
          <w:szCs w:val="26"/>
          <w:u w:color="000000"/>
        </w:rPr>
        <w:t>necessità di inserire la</w:t>
      </w:r>
      <w:r w:rsidRPr="008E2B66">
        <w:rPr>
          <w:rFonts w:ascii="Garamond" w:hAnsi="Garamond" w:cs="Arial"/>
          <w:b/>
          <w:bCs/>
          <w:sz w:val="26"/>
          <w:szCs w:val="26"/>
          <w:u w:color="000000"/>
        </w:rPr>
        <w:t xml:space="preserve"> </w:t>
      </w:r>
      <w:r w:rsidR="00B62408" w:rsidRPr="008E2B66">
        <w:rPr>
          <w:rFonts w:ascii="Garamond" w:hAnsi="Garamond" w:cs="Arial"/>
          <w:sz w:val="26"/>
          <w:szCs w:val="26"/>
          <w:u w:color="000000"/>
        </w:rPr>
        <w:t xml:space="preserve">disposizione contenuta al comma 2 dell’art. 2 del </w:t>
      </w:r>
      <w:r w:rsidR="00B62408" w:rsidRPr="00CF43E0">
        <w:rPr>
          <w:rFonts w:ascii="Garamond" w:hAnsi="Garamond" w:cs="Arial"/>
          <w:i/>
          <w:iCs/>
          <w:sz w:val="26"/>
          <w:szCs w:val="26"/>
          <w:u w:color="000000"/>
        </w:rPr>
        <w:t>Codice di Comportamento</w:t>
      </w:r>
      <w:r w:rsidR="00CF43E0">
        <w:rPr>
          <w:rFonts w:ascii="Garamond" w:hAnsi="Garamond" w:cs="Arial"/>
          <w:i/>
          <w:iCs/>
          <w:sz w:val="26"/>
          <w:szCs w:val="26"/>
          <w:u w:color="000000"/>
        </w:rPr>
        <w:t xml:space="preserve"> - </w:t>
      </w:r>
      <w:r w:rsidR="00923897" w:rsidRPr="008E2B66">
        <w:rPr>
          <w:rFonts w:ascii="Garamond" w:hAnsi="Garamond" w:cs="Arial"/>
          <w:sz w:val="26"/>
          <w:szCs w:val="26"/>
          <w:u w:color="000000"/>
        </w:rPr>
        <w:t>che prevede</w:t>
      </w:r>
      <w:r w:rsidR="00B62408" w:rsidRPr="008E2B66">
        <w:rPr>
          <w:rFonts w:ascii="Garamond" w:hAnsi="Garamond" w:cs="Arial"/>
          <w:sz w:val="26"/>
          <w:szCs w:val="26"/>
          <w:u w:color="000000"/>
        </w:rPr>
        <w:t xml:space="preserve"> </w:t>
      </w:r>
      <w:r w:rsidRPr="008E2B66">
        <w:rPr>
          <w:rFonts w:ascii="Garamond" w:hAnsi="Garamond" w:cs="Arial"/>
          <w:sz w:val="26"/>
          <w:szCs w:val="26"/>
          <w:u w:color="000000"/>
        </w:rPr>
        <w:t xml:space="preserve">apposito richiamo alla applicabilità </w:t>
      </w:r>
      <w:r w:rsidR="000971A3" w:rsidRPr="008E2B66">
        <w:rPr>
          <w:rFonts w:ascii="Garamond" w:hAnsi="Garamond" w:cs="Arial"/>
          <w:sz w:val="26"/>
          <w:szCs w:val="26"/>
          <w:u w:color="000000"/>
        </w:rPr>
        <w:t>del Codice</w:t>
      </w:r>
      <w:r w:rsidRPr="008E2B66">
        <w:rPr>
          <w:rFonts w:ascii="Garamond" w:hAnsi="Garamond" w:cs="Arial"/>
          <w:sz w:val="26"/>
          <w:szCs w:val="26"/>
          <w:u w:color="000000"/>
        </w:rPr>
        <w:t xml:space="preserve"> </w:t>
      </w:r>
      <w:r w:rsidR="00CF43E0">
        <w:rPr>
          <w:rFonts w:ascii="Garamond" w:hAnsi="Garamond" w:cs="Arial"/>
          <w:sz w:val="26"/>
          <w:szCs w:val="26"/>
          <w:u w:color="000000"/>
        </w:rPr>
        <w:t xml:space="preserve">di comportamento adottato dall’Ente </w:t>
      </w:r>
      <w:r w:rsidRPr="008E2B66">
        <w:rPr>
          <w:rFonts w:ascii="Garamond" w:hAnsi="Garamond" w:cs="Arial"/>
          <w:sz w:val="26"/>
          <w:szCs w:val="26"/>
          <w:u w:color="000000"/>
        </w:rPr>
        <w:t>e del Codice Generale</w:t>
      </w:r>
      <w:r w:rsidR="00CF43E0">
        <w:rPr>
          <w:rFonts w:ascii="Garamond" w:hAnsi="Garamond" w:cs="Arial"/>
          <w:sz w:val="26"/>
          <w:szCs w:val="26"/>
          <w:u w:color="000000"/>
        </w:rPr>
        <w:t>,</w:t>
      </w:r>
      <w:r w:rsidRPr="008E2B66">
        <w:rPr>
          <w:rFonts w:ascii="Garamond" w:hAnsi="Garamond" w:cs="Arial"/>
          <w:sz w:val="26"/>
          <w:szCs w:val="26"/>
          <w:u w:color="000000"/>
        </w:rPr>
        <w:t xml:space="preserve"> n</w:t>
      </w:r>
      <w:r w:rsidR="00B62408" w:rsidRPr="008E2B66">
        <w:rPr>
          <w:rFonts w:ascii="Garamond" w:hAnsi="Garamond" w:cs="Arial"/>
          <w:sz w:val="26"/>
          <w:szCs w:val="26"/>
          <w:u w:color="000000"/>
        </w:rPr>
        <w:t xml:space="preserve">egli atti di incarico, nei contratti di acquisizione delle collaborazioni e consulenze, nei contratti che regolano altri rapporti lavorativi o formativi presso l’Ente, nei contratti di acquisizione di beni, servizi e lavori. </w:t>
      </w:r>
    </w:p>
    <w:p w14:paraId="292CBB33" w14:textId="77777777" w:rsidR="00AB34B2" w:rsidRPr="008E2B66" w:rsidRDefault="00AB34B2" w:rsidP="00922281">
      <w:pPr>
        <w:spacing w:after="80" w:line="276" w:lineRule="auto"/>
        <w:jc w:val="both"/>
        <w:rPr>
          <w:rFonts w:ascii="Garamond" w:hAnsi="Garamond" w:cs="Arial"/>
          <w:sz w:val="26"/>
          <w:szCs w:val="26"/>
          <w:u w:color="000000"/>
        </w:rPr>
      </w:pPr>
    </w:p>
    <w:p w14:paraId="11668B95" w14:textId="22C47B70" w:rsidR="00D44289" w:rsidRPr="008E2B66" w:rsidRDefault="00D44289" w:rsidP="00503AC0">
      <w:pPr>
        <w:spacing w:line="360" w:lineRule="auto"/>
        <w:jc w:val="both"/>
        <w:rPr>
          <w:rFonts w:ascii="Garamond" w:hAnsi="Garamond" w:cs="Arial"/>
          <w:b/>
          <w:bCs/>
          <w:sz w:val="26"/>
          <w:szCs w:val="26"/>
          <w:u w:color="000000"/>
        </w:rPr>
      </w:pPr>
      <w:r w:rsidRPr="008E2B66">
        <w:rPr>
          <w:rFonts w:ascii="Garamond" w:hAnsi="Garamond" w:cs="Arial"/>
          <w:b/>
          <w:bCs/>
          <w:sz w:val="26"/>
          <w:szCs w:val="26"/>
          <w:u w:color="000000"/>
        </w:rPr>
        <w:t xml:space="preserve">Conflitto di interessi in materia di contratti pubblici </w:t>
      </w:r>
    </w:p>
    <w:p w14:paraId="707E2818" w14:textId="1984FA2C" w:rsidR="002D763D" w:rsidRPr="008E2B66" w:rsidRDefault="00CF43E0" w:rsidP="00E55448">
      <w:pPr>
        <w:spacing w:after="80" w:line="276" w:lineRule="auto"/>
        <w:jc w:val="both"/>
        <w:rPr>
          <w:rFonts w:ascii="Garamond" w:hAnsi="Garamond"/>
          <w:sz w:val="26"/>
          <w:szCs w:val="26"/>
        </w:rPr>
      </w:pPr>
      <w:r>
        <w:rPr>
          <w:rFonts w:ascii="Garamond" w:hAnsi="Garamond" w:cs="Arial"/>
          <w:sz w:val="26"/>
          <w:szCs w:val="26"/>
        </w:rPr>
        <w:t>I</w:t>
      </w:r>
      <w:r w:rsidR="00CC4981" w:rsidRPr="008E2B66">
        <w:rPr>
          <w:rFonts w:ascii="Garamond" w:hAnsi="Garamond" w:cs="Arial"/>
          <w:sz w:val="26"/>
          <w:szCs w:val="26"/>
        </w:rPr>
        <w:t xml:space="preserve">n una accezione generica, si ha </w:t>
      </w:r>
      <w:r w:rsidR="00CC4981" w:rsidRPr="00CF43E0">
        <w:rPr>
          <w:rFonts w:ascii="Garamond" w:hAnsi="Garamond" w:cs="Arial"/>
          <w:i/>
          <w:iCs/>
          <w:sz w:val="26"/>
          <w:szCs w:val="26"/>
        </w:rPr>
        <w:t>conflitto di interessi</w:t>
      </w:r>
      <w:r w:rsidR="00CC4981" w:rsidRPr="008E2B66">
        <w:rPr>
          <w:rFonts w:ascii="Garamond" w:hAnsi="Garamond" w:cs="Arial"/>
          <w:sz w:val="26"/>
          <w:szCs w:val="26"/>
        </w:rPr>
        <w:t xml:space="preserve"> quando l’interesse personale potrebbe incidere sulla correttezza e imparzialità delle decisioni assunte e delle attività da svolgere; in particolare, nella Pubblica Amministrazione, la fattispecie del conflitto di interessi si configura quando il funzionario pubblico adotta una decisione nonostante abbia, anche solo potenzialmente, degli </w:t>
      </w:r>
      <w:r w:rsidR="00CC4981" w:rsidRPr="008E2B66">
        <w:rPr>
          <w:rFonts w:ascii="Garamond" w:hAnsi="Garamond" w:cs="Arial"/>
          <w:sz w:val="26"/>
          <w:szCs w:val="26"/>
        </w:rPr>
        <w:lastRenderedPageBreak/>
        <w:t xml:space="preserve">interessi personali che risultano in contrasto con gli interessi pubblici ai quali dovrebbe conformarsi la sua azione amministrativa. </w:t>
      </w:r>
    </w:p>
    <w:p w14:paraId="516A58AA" w14:textId="0C5E1CE8" w:rsidR="00265786" w:rsidRPr="008E2B66" w:rsidRDefault="00CC4981" w:rsidP="00E55448">
      <w:pPr>
        <w:spacing w:after="80" w:line="276" w:lineRule="auto"/>
        <w:jc w:val="both"/>
        <w:rPr>
          <w:rFonts w:ascii="Garamond" w:hAnsi="Garamond" w:cs="Arial"/>
          <w:sz w:val="26"/>
          <w:szCs w:val="26"/>
        </w:rPr>
      </w:pPr>
      <w:r w:rsidRPr="008E2B66">
        <w:rPr>
          <w:rFonts w:ascii="Garamond" w:hAnsi="Garamond" w:cs="Arial"/>
          <w:sz w:val="26"/>
          <w:szCs w:val="26"/>
        </w:rPr>
        <w:t xml:space="preserve">Per ciò che </w:t>
      </w:r>
      <w:r w:rsidR="00AB34B2">
        <w:rPr>
          <w:rFonts w:ascii="Garamond" w:hAnsi="Garamond" w:cs="Arial"/>
          <w:sz w:val="26"/>
          <w:szCs w:val="26"/>
        </w:rPr>
        <w:t>riguarda</w:t>
      </w:r>
      <w:r w:rsidRPr="008E2B66">
        <w:rPr>
          <w:rFonts w:ascii="Garamond" w:hAnsi="Garamond" w:cs="Arial"/>
          <w:sz w:val="26"/>
          <w:szCs w:val="26"/>
        </w:rPr>
        <w:t xml:space="preserve">, in generale, l’azione amministrativa, si fa riferimento alla Legge 7 agosto 1990, n. 241, che disciplina il procedimento amministrativo e che, all’art. 6 bis, dispone </w:t>
      </w:r>
      <w:r w:rsidRPr="008E2B66">
        <w:rPr>
          <w:rFonts w:ascii="Garamond" w:hAnsi="Garamond" w:cs="Arial"/>
          <w:i/>
          <w:iCs/>
          <w:sz w:val="26"/>
          <w:szCs w:val="26"/>
        </w:rPr>
        <w:t>“Il responsabile del procedimento e i titolari degli uffici competenti ad adottare i pareri, le valutazioni tecniche, gli atti endoprocedimentali e il provvedimento finale devono astenersi in caso di conflitto di interessi, segnalando ogni situazione di conflitto, anche potenziale”</w:t>
      </w:r>
      <w:r w:rsidRPr="008E2B66">
        <w:rPr>
          <w:rFonts w:ascii="Garamond" w:hAnsi="Garamond" w:cs="Arial"/>
          <w:sz w:val="26"/>
          <w:szCs w:val="26"/>
        </w:rPr>
        <w:t xml:space="preserve">. </w:t>
      </w:r>
      <w:r w:rsidR="00265786" w:rsidRPr="008E2B66">
        <w:rPr>
          <w:rFonts w:ascii="Garamond" w:hAnsi="Garamond" w:cs="Arial"/>
          <w:sz w:val="26"/>
          <w:szCs w:val="26"/>
        </w:rPr>
        <w:t>Nell’ambito del rapporto di lavoro con la Pubblica Amministrazione si fa riferimento alle disposizioni di cui al D</w:t>
      </w:r>
      <w:r w:rsidR="00566AE6" w:rsidRPr="008E2B66">
        <w:rPr>
          <w:rFonts w:ascii="Garamond" w:hAnsi="Garamond" w:cs="Arial"/>
          <w:sz w:val="26"/>
          <w:szCs w:val="26"/>
        </w:rPr>
        <w:t>l</w:t>
      </w:r>
      <w:r w:rsidR="00265786" w:rsidRPr="008E2B66">
        <w:rPr>
          <w:rFonts w:ascii="Garamond" w:hAnsi="Garamond" w:cs="Arial"/>
          <w:sz w:val="26"/>
          <w:szCs w:val="26"/>
        </w:rPr>
        <w:t xml:space="preserve">gs. </w:t>
      </w:r>
      <w:r w:rsidR="004374E8">
        <w:rPr>
          <w:rFonts w:ascii="Garamond" w:hAnsi="Garamond" w:cs="Arial"/>
          <w:sz w:val="26"/>
          <w:szCs w:val="26"/>
        </w:rPr>
        <w:t>n.</w:t>
      </w:r>
      <w:r w:rsidR="00265786" w:rsidRPr="008E2B66">
        <w:rPr>
          <w:rFonts w:ascii="Garamond" w:hAnsi="Garamond" w:cs="Arial"/>
          <w:sz w:val="26"/>
          <w:szCs w:val="26"/>
        </w:rPr>
        <w:t xml:space="preserve">165/2001 </w:t>
      </w:r>
      <w:r w:rsidR="00265786" w:rsidRPr="004374E8">
        <w:rPr>
          <w:rFonts w:ascii="Garamond" w:hAnsi="Garamond" w:cs="Arial"/>
          <w:i/>
          <w:iCs/>
          <w:sz w:val="26"/>
          <w:szCs w:val="26"/>
        </w:rPr>
        <w:t>Norme generali sull'ordinamento del lavoro alle dipendenze delle amministrazioni pubbliche</w:t>
      </w:r>
      <w:r w:rsidR="00AE3EA9" w:rsidRPr="008E2B66">
        <w:rPr>
          <w:rFonts w:ascii="Garamond" w:hAnsi="Garamond" w:cs="Arial"/>
          <w:sz w:val="26"/>
          <w:szCs w:val="26"/>
        </w:rPr>
        <w:t xml:space="preserve">, </w:t>
      </w:r>
      <w:r w:rsidR="00265786" w:rsidRPr="008E2B66">
        <w:rPr>
          <w:rFonts w:ascii="Garamond" w:hAnsi="Garamond" w:cs="Arial"/>
          <w:sz w:val="26"/>
          <w:szCs w:val="26"/>
        </w:rPr>
        <w:t xml:space="preserve">in particolare </w:t>
      </w:r>
      <w:r w:rsidR="00AE3EA9" w:rsidRPr="008E2B66">
        <w:rPr>
          <w:rFonts w:ascii="Garamond" w:hAnsi="Garamond" w:cs="Arial"/>
          <w:sz w:val="26"/>
          <w:szCs w:val="26"/>
        </w:rPr>
        <w:t>all’</w:t>
      </w:r>
      <w:r w:rsidR="00265786" w:rsidRPr="008E2B66">
        <w:rPr>
          <w:rFonts w:ascii="Garamond" w:hAnsi="Garamond" w:cs="Arial"/>
          <w:sz w:val="26"/>
          <w:szCs w:val="26"/>
        </w:rPr>
        <w:t xml:space="preserve">art. 53 </w:t>
      </w:r>
      <w:r w:rsidR="00265786" w:rsidRPr="004374E8">
        <w:rPr>
          <w:rFonts w:ascii="Garamond" w:hAnsi="Garamond" w:cs="Arial"/>
          <w:i/>
          <w:iCs/>
          <w:sz w:val="26"/>
          <w:szCs w:val="26"/>
        </w:rPr>
        <w:t>Incompatibilità, cumulo di impieghi e incarichi</w:t>
      </w:r>
      <w:r w:rsidR="00AE3EA9" w:rsidRPr="008E2B66">
        <w:rPr>
          <w:rFonts w:ascii="Garamond" w:hAnsi="Garamond" w:cs="Arial"/>
          <w:sz w:val="26"/>
          <w:szCs w:val="26"/>
        </w:rPr>
        <w:t>,</w:t>
      </w:r>
      <w:r w:rsidR="00265786" w:rsidRPr="008E2B66">
        <w:rPr>
          <w:rFonts w:ascii="Garamond" w:hAnsi="Garamond" w:cs="Arial"/>
          <w:sz w:val="26"/>
          <w:szCs w:val="26"/>
        </w:rPr>
        <w:t xml:space="preserve"> e alla disciplina unitaria in materia di inconferibilità e incompatibilità di incarichi presso le Pubbliche Amministrazioni e presso gli enti privati in controllo pubblico di cui al </w:t>
      </w:r>
      <w:r w:rsidR="00E901D7">
        <w:rPr>
          <w:rFonts w:ascii="Garamond" w:hAnsi="Garamond" w:cs="Arial"/>
          <w:sz w:val="26"/>
          <w:szCs w:val="26"/>
        </w:rPr>
        <w:t>D</w:t>
      </w:r>
      <w:r w:rsidR="00265786" w:rsidRPr="008E2B66">
        <w:rPr>
          <w:rFonts w:ascii="Garamond" w:hAnsi="Garamond" w:cs="Arial"/>
          <w:sz w:val="26"/>
          <w:szCs w:val="26"/>
        </w:rPr>
        <w:t>lgs. n. 39/2013. A</w:t>
      </w:r>
      <w:r w:rsidR="00E901D7">
        <w:rPr>
          <w:rFonts w:ascii="Garamond" w:hAnsi="Garamond" w:cs="Arial"/>
          <w:sz w:val="26"/>
          <w:szCs w:val="26"/>
        </w:rPr>
        <w:t>lle</w:t>
      </w:r>
      <w:r w:rsidR="00265786" w:rsidRPr="008E2B66">
        <w:rPr>
          <w:rFonts w:ascii="Garamond" w:hAnsi="Garamond" w:cs="Arial"/>
          <w:sz w:val="26"/>
          <w:szCs w:val="26"/>
        </w:rPr>
        <w:t xml:space="preserve"> norme</w:t>
      </w:r>
      <w:r w:rsidR="00E901D7">
        <w:rPr>
          <w:rFonts w:ascii="Garamond" w:hAnsi="Garamond" w:cs="Arial"/>
          <w:sz w:val="26"/>
          <w:szCs w:val="26"/>
        </w:rPr>
        <w:t xml:space="preserve"> citate</w:t>
      </w:r>
      <w:r w:rsidR="00265786" w:rsidRPr="008E2B66">
        <w:rPr>
          <w:rFonts w:ascii="Garamond" w:hAnsi="Garamond" w:cs="Arial"/>
          <w:sz w:val="26"/>
          <w:szCs w:val="26"/>
        </w:rPr>
        <w:t xml:space="preserve">, si aggiunge il DPR </w:t>
      </w:r>
      <w:r w:rsidR="000971A3" w:rsidRPr="008E2B66">
        <w:rPr>
          <w:rFonts w:ascii="Garamond" w:hAnsi="Garamond" w:cs="Arial"/>
          <w:sz w:val="26"/>
          <w:szCs w:val="26"/>
        </w:rPr>
        <w:t xml:space="preserve">n. </w:t>
      </w:r>
      <w:r w:rsidR="00265786" w:rsidRPr="008E2B66">
        <w:rPr>
          <w:rFonts w:ascii="Garamond" w:hAnsi="Garamond" w:cs="Arial"/>
          <w:sz w:val="26"/>
          <w:szCs w:val="26"/>
        </w:rPr>
        <w:t xml:space="preserve">62/2013 </w:t>
      </w:r>
      <w:r w:rsidR="00E901D7">
        <w:rPr>
          <w:rFonts w:ascii="Garamond" w:hAnsi="Garamond" w:cs="Arial"/>
          <w:sz w:val="26"/>
          <w:szCs w:val="26"/>
        </w:rPr>
        <w:t xml:space="preserve"> “</w:t>
      </w:r>
      <w:r w:rsidR="00265786" w:rsidRPr="00E901D7">
        <w:rPr>
          <w:rFonts w:ascii="Garamond" w:hAnsi="Garamond" w:cs="Arial"/>
          <w:i/>
          <w:iCs/>
          <w:sz w:val="26"/>
          <w:szCs w:val="26"/>
        </w:rPr>
        <w:t>Regolamento recante codice di comportamento dei dipendenti pubblici</w:t>
      </w:r>
      <w:r w:rsidR="00265786" w:rsidRPr="008E2B66">
        <w:rPr>
          <w:rFonts w:ascii="Garamond" w:hAnsi="Garamond" w:cs="Arial"/>
          <w:sz w:val="26"/>
          <w:szCs w:val="26"/>
        </w:rPr>
        <w:t>” che disciplina il conflitto di interessi in una serie di articoli, tra cui l’art. 6 (Obbligo di comunicazione), l’art. 7 (Obbligo di astensione) e l’art. 14 (Contratti ed altri atti negoziali).</w:t>
      </w:r>
    </w:p>
    <w:p w14:paraId="66D3326B" w14:textId="784BD36A" w:rsidR="007433DE" w:rsidRPr="008E2B66" w:rsidRDefault="002D33E8" w:rsidP="00E55448">
      <w:pPr>
        <w:spacing w:after="80" w:line="276" w:lineRule="auto"/>
        <w:jc w:val="both"/>
        <w:rPr>
          <w:rFonts w:ascii="Garamond" w:hAnsi="Garamond"/>
          <w:sz w:val="26"/>
          <w:szCs w:val="26"/>
        </w:rPr>
      </w:pPr>
      <w:r w:rsidRPr="008E2B66">
        <w:rPr>
          <w:rFonts w:ascii="Garamond" w:hAnsi="Garamond" w:cs="Arial"/>
          <w:sz w:val="26"/>
          <w:szCs w:val="26"/>
        </w:rPr>
        <w:t xml:space="preserve">Il </w:t>
      </w:r>
      <w:r w:rsidR="00F1303D" w:rsidRPr="008E2B66">
        <w:rPr>
          <w:rFonts w:ascii="Garamond" w:hAnsi="Garamond" w:cs="Arial"/>
          <w:sz w:val="26"/>
          <w:szCs w:val="26"/>
        </w:rPr>
        <w:t xml:space="preserve">nuovo </w:t>
      </w:r>
      <w:r w:rsidR="00F1303D" w:rsidRPr="004374E8">
        <w:rPr>
          <w:rFonts w:ascii="Garamond" w:hAnsi="Garamond" w:cs="Arial"/>
          <w:i/>
          <w:iCs/>
          <w:sz w:val="26"/>
          <w:szCs w:val="26"/>
        </w:rPr>
        <w:t>Codice dei contratti pubblici</w:t>
      </w:r>
      <w:r w:rsidR="00F1303D" w:rsidRPr="008E2B66">
        <w:rPr>
          <w:rFonts w:ascii="Garamond" w:hAnsi="Garamond" w:cs="Arial"/>
          <w:sz w:val="26"/>
          <w:szCs w:val="26"/>
        </w:rPr>
        <w:t xml:space="preserve"> (</w:t>
      </w:r>
      <w:r w:rsidR="004374E8">
        <w:rPr>
          <w:rFonts w:ascii="Garamond" w:hAnsi="Garamond" w:cs="Arial"/>
          <w:sz w:val="26"/>
          <w:szCs w:val="26"/>
        </w:rPr>
        <w:t>D</w:t>
      </w:r>
      <w:r w:rsidR="00566AE6" w:rsidRPr="008E2B66">
        <w:rPr>
          <w:rFonts w:ascii="Garamond" w:hAnsi="Garamond" w:cs="Arial"/>
          <w:sz w:val="26"/>
          <w:szCs w:val="26"/>
        </w:rPr>
        <w:t>l</w:t>
      </w:r>
      <w:r w:rsidR="00CC4981" w:rsidRPr="008E2B66">
        <w:rPr>
          <w:rFonts w:ascii="Garamond" w:hAnsi="Garamond" w:cs="Arial"/>
          <w:sz w:val="26"/>
          <w:szCs w:val="26"/>
        </w:rPr>
        <w:t>gs. n. 36/2023</w:t>
      </w:r>
      <w:r w:rsidR="00F1303D" w:rsidRPr="008E2B66">
        <w:rPr>
          <w:rFonts w:ascii="Garamond" w:hAnsi="Garamond" w:cs="Arial"/>
          <w:sz w:val="26"/>
          <w:szCs w:val="26"/>
        </w:rPr>
        <w:t>)</w:t>
      </w:r>
      <w:r w:rsidR="00CC4981" w:rsidRPr="008E2B66">
        <w:rPr>
          <w:rFonts w:ascii="Garamond" w:hAnsi="Garamond" w:cs="Arial"/>
          <w:sz w:val="26"/>
          <w:szCs w:val="26"/>
        </w:rPr>
        <w:t xml:space="preserve"> entrato in vigore il 1° aprile 2023 ed efficace dal 1° luglio 2023</w:t>
      </w:r>
      <w:r w:rsidRPr="008E2B66">
        <w:rPr>
          <w:rFonts w:ascii="Garamond" w:hAnsi="Garamond" w:cs="Arial"/>
          <w:sz w:val="26"/>
          <w:szCs w:val="26"/>
        </w:rPr>
        <w:t xml:space="preserve"> ha disciplinato tale istituto all’art. 16 </w:t>
      </w:r>
      <w:r w:rsidR="00CC4981" w:rsidRPr="008E2B66">
        <w:rPr>
          <w:rFonts w:ascii="Garamond" w:hAnsi="Garamond" w:cs="Arial"/>
          <w:sz w:val="26"/>
          <w:szCs w:val="26"/>
        </w:rPr>
        <w:t xml:space="preserve"> statu</w:t>
      </w:r>
      <w:r w:rsidRPr="008E2B66">
        <w:rPr>
          <w:rFonts w:ascii="Garamond" w:hAnsi="Garamond" w:cs="Arial"/>
          <w:sz w:val="26"/>
          <w:szCs w:val="26"/>
        </w:rPr>
        <w:t>endo</w:t>
      </w:r>
      <w:r w:rsidR="00CC4981" w:rsidRPr="008E2B66">
        <w:rPr>
          <w:rFonts w:ascii="Garamond" w:hAnsi="Garamond" w:cs="Arial"/>
          <w:sz w:val="26"/>
          <w:szCs w:val="26"/>
        </w:rPr>
        <w:t xml:space="preserve"> che </w:t>
      </w:r>
      <w:r w:rsidR="007433DE" w:rsidRPr="008E2B66">
        <w:rPr>
          <w:rFonts w:ascii="Garamond" w:hAnsi="Garamond" w:cs="Arial"/>
          <w:sz w:val="26"/>
          <w:szCs w:val="26"/>
        </w:rPr>
        <w:t>s</w:t>
      </w:r>
      <w:r w:rsidR="00CC4981" w:rsidRPr="008E2B66">
        <w:rPr>
          <w:rFonts w:ascii="Garamond" w:hAnsi="Garamond" w:cs="Arial"/>
          <w:sz w:val="26"/>
          <w:szCs w:val="26"/>
        </w:rPr>
        <w:t>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alla sua imparzialità e indipendenza nel contesto della procedura di aggiudicazione o nella fase di esecuzione</w:t>
      </w:r>
      <w:r w:rsidR="00CC4981" w:rsidRPr="008E2B66">
        <w:rPr>
          <w:rFonts w:ascii="Garamond" w:hAnsi="Garamond"/>
          <w:sz w:val="26"/>
          <w:szCs w:val="26"/>
        </w:rPr>
        <w:t>.</w:t>
      </w:r>
    </w:p>
    <w:p w14:paraId="6D488788" w14:textId="31AF8DB7" w:rsidR="007433DE" w:rsidRPr="008E2B66" w:rsidRDefault="00CC4981" w:rsidP="00E55448">
      <w:pPr>
        <w:spacing w:after="80" w:line="276" w:lineRule="auto"/>
        <w:jc w:val="both"/>
        <w:rPr>
          <w:rFonts w:ascii="Garamond" w:hAnsi="Garamond" w:cs="Arial"/>
          <w:sz w:val="26"/>
          <w:szCs w:val="26"/>
        </w:rPr>
      </w:pPr>
      <w:r w:rsidRPr="008E2B66">
        <w:rPr>
          <w:rFonts w:ascii="Garamond" w:hAnsi="Garamond" w:cs="Arial"/>
          <w:sz w:val="26"/>
          <w:szCs w:val="26"/>
        </w:rPr>
        <w:t xml:space="preserve">Il comma 2 </w:t>
      </w:r>
      <w:r w:rsidR="002D33E8" w:rsidRPr="008E2B66">
        <w:rPr>
          <w:rFonts w:ascii="Garamond" w:hAnsi="Garamond" w:cs="Arial"/>
          <w:sz w:val="26"/>
          <w:szCs w:val="26"/>
        </w:rPr>
        <w:t>del medesimo articolo 16</w:t>
      </w:r>
      <w:r w:rsidRPr="008E2B66">
        <w:rPr>
          <w:rFonts w:ascii="Garamond" w:hAnsi="Garamond" w:cs="Arial"/>
          <w:sz w:val="26"/>
          <w:szCs w:val="26"/>
        </w:rPr>
        <w:t xml:space="preserve"> chiarisce che la minaccia percepita all’imparzialità e indipendenza deve riferirsi a interessi effettivi, la cui soddisfazione sia conseguibile solo subordinando un interesse all’altro. </w:t>
      </w:r>
    </w:p>
    <w:p w14:paraId="73A2A511" w14:textId="7122D3B2" w:rsidR="007433DE" w:rsidRPr="008E2B66" w:rsidRDefault="007433DE" w:rsidP="00E55448">
      <w:pPr>
        <w:spacing w:after="80" w:line="276" w:lineRule="auto"/>
        <w:jc w:val="both"/>
        <w:rPr>
          <w:rFonts w:ascii="Garamond" w:hAnsi="Garamond" w:cs="Arial"/>
          <w:sz w:val="26"/>
          <w:szCs w:val="26"/>
        </w:rPr>
      </w:pPr>
      <w:r w:rsidRPr="008E2B66">
        <w:rPr>
          <w:rFonts w:ascii="Garamond" w:hAnsi="Garamond" w:cs="Arial"/>
          <w:sz w:val="26"/>
          <w:szCs w:val="26"/>
        </w:rPr>
        <w:t>I</w:t>
      </w:r>
      <w:r w:rsidR="00CC4981" w:rsidRPr="008E2B66">
        <w:rPr>
          <w:rFonts w:ascii="Garamond" w:hAnsi="Garamond" w:cs="Arial"/>
          <w:sz w:val="26"/>
          <w:szCs w:val="26"/>
        </w:rPr>
        <w:t>l comma 3 dispone che il personale che versa nelle ipotesi di conflitto di interessi ne dà comunicazione alla Stazione appaltante e si astiene dal partecipare alla procedura di aggiudicazione e alla fase di esecuzione del contratto.</w:t>
      </w:r>
    </w:p>
    <w:p w14:paraId="60860B3A" w14:textId="78A340CD" w:rsidR="007433DE" w:rsidRPr="008E2B66" w:rsidRDefault="00CC4981" w:rsidP="00E55448">
      <w:pPr>
        <w:spacing w:after="80" w:line="276" w:lineRule="auto"/>
        <w:jc w:val="both"/>
        <w:rPr>
          <w:rFonts w:ascii="Garamond" w:hAnsi="Garamond" w:cs="Arial"/>
          <w:sz w:val="26"/>
          <w:szCs w:val="26"/>
        </w:rPr>
      </w:pPr>
      <w:r w:rsidRPr="008E2B66">
        <w:rPr>
          <w:rFonts w:ascii="Garamond" w:hAnsi="Garamond" w:cs="Arial"/>
          <w:sz w:val="26"/>
          <w:szCs w:val="26"/>
        </w:rPr>
        <w:t>Infine, il comma 4 conclude</w:t>
      </w:r>
      <w:r w:rsidR="00FB7DE2">
        <w:rPr>
          <w:rFonts w:ascii="Garamond" w:hAnsi="Garamond" w:cs="Arial"/>
          <w:sz w:val="26"/>
          <w:szCs w:val="26"/>
        </w:rPr>
        <w:t>,</w:t>
      </w:r>
      <w:r w:rsidRPr="008E2B66">
        <w:rPr>
          <w:rFonts w:ascii="Garamond" w:hAnsi="Garamond" w:cs="Arial"/>
          <w:sz w:val="26"/>
          <w:szCs w:val="26"/>
        </w:rPr>
        <w:t xml:space="preserve"> imponendo alla Stazione appaltante l’adozione delle misure adeguate a prevenire e risolvere in modo efficace ogni ipotesi di conflitto di interessi</w:t>
      </w:r>
      <w:r w:rsidR="00FB7DE2">
        <w:rPr>
          <w:rFonts w:ascii="Garamond" w:hAnsi="Garamond" w:cs="Arial"/>
          <w:sz w:val="26"/>
          <w:szCs w:val="26"/>
        </w:rPr>
        <w:t xml:space="preserve">, </w:t>
      </w:r>
      <w:r w:rsidRPr="008E2B66">
        <w:rPr>
          <w:rFonts w:ascii="Garamond" w:hAnsi="Garamond" w:cs="Arial"/>
          <w:sz w:val="26"/>
          <w:szCs w:val="26"/>
        </w:rPr>
        <w:t>nello svolgimento delle procedure di a</w:t>
      </w:r>
      <w:r w:rsidR="00FB7DE2">
        <w:rPr>
          <w:rFonts w:ascii="Garamond" w:hAnsi="Garamond" w:cs="Arial"/>
          <w:sz w:val="26"/>
          <w:szCs w:val="26"/>
        </w:rPr>
        <w:t>ffidamento e</w:t>
      </w:r>
      <w:r w:rsidRPr="008E2B66">
        <w:rPr>
          <w:rFonts w:ascii="Garamond" w:hAnsi="Garamond" w:cs="Arial"/>
          <w:sz w:val="26"/>
          <w:szCs w:val="26"/>
        </w:rPr>
        <w:t xml:space="preserve"> </w:t>
      </w:r>
      <w:r w:rsidR="00FB7DE2">
        <w:rPr>
          <w:rFonts w:ascii="Garamond" w:hAnsi="Garamond" w:cs="Arial"/>
          <w:sz w:val="26"/>
          <w:szCs w:val="26"/>
        </w:rPr>
        <w:t>nella fase di</w:t>
      </w:r>
      <w:r w:rsidRPr="008E2B66">
        <w:rPr>
          <w:rFonts w:ascii="Garamond" w:hAnsi="Garamond" w:cs="Arial"/>
          <w:sz w:val="26"/>
          <w:szCs w:val="26"/>
        </w:rPr>
        <w:t xml:space="preserve"> esecuzione degli appalti e delle concessioni</w:t>
      </w:r>
      <w:r w:rsidR="00FB7DE2">
        <w:rPr>
          <w:rFonts w:ascii="Garamond" w:hAnsi="Garamond" w:cs="Arial"/>
          <w:sz w:val="26"/>
          <w:szCs w:val="26"/>
        </w:rPr>
        <w:t>, nonché</w:t>
      </w:r>
      <w:r w:rsidRPr="008E2B66">
        <w:rPr>
          <w:rFonts w:ascii="Garamond" w:hAnsi="Garamond" w:cs="Arial"/>
          <w:sz w:val="26"/>
          <w:szCs w:val="26"/>
        </w:rPr>
        <w:t xml:space="preserve"> di vigilare affinché gli adempimenti di cui al comma 3 siano rispettati. </w:t>
      </w:r>
    </w:p>
    <w:p w14:paraId="24289371" w14:textId="3A3EBD8B" w:rsidR="008F2D88" w:rsidRPr="008E2B66" w:rsidRDefault="0085644A" w:rsidP="00E55448">
      <w:pPr>
        <w:spacing w:after="80" w:line="276" w:lineRule="auto"/>
        <w:jc w:val="both"/>
        <w:rPr>
          <w:rFonts w:ascii="Garamond" w:hAnsi="Garamond" w:cs="Arial"/>
          <w:sz w:val="26"/>
          <w:szCs w:val="26"/>
        </w:rPr>
      </w:pPr>
      <w:r w:rsidRPr="008E2B66">
        <w:rPr>
          <w:rFonts w:ascii="Garamond" w:hAnsi="Garamond" w:cs="Arial"/>
          <w:sz w:val="26"/>
          <w:szCs w:val="26"/>
        </w:rPr>
        <w:t>Nel PNA 2022</w:t>
      </w:r>
      <w:r w:rsidR="00D70638" w:rsidRPr="008E2B66">
        <w:rPr>
          <w:rFonts w:ascii="Garamond" w:hAnsi="Garamond" w:cs="Arial"/>
          <w:sz w:val="26"/>
          <w:szCs w:val="26"/>
        </w:rPr>
        <w:t xml:space="preserve"> (</w:t>
      </w:r>
      <w:r w:rsidR="00D70638" w:rsidRPr="00FB7DE2">
        <w:rPr>
          <w:rFonts w:ascii="Garamond" w:hAnsi="Garamond" w:cs="Arial"/>
          <w:i/>
          <w:iCs/>
          <w:sz w:val="26"/>
          <w:szCs w:val="26"/>
        </w:rPr>
        <w:t>Parte speciale, Conflitti di interesse in materia di contratti pubblici</w:t>
      </w:r>
      <w:r w:rsidR="00D70638" w:rsidRPr="008E2B66">
        <w:rPr>
          <w:rFonts w:ascii="Garamond" w:hAnsi="Garamond" w:cs="Arial"/>
          <w:sz w:val="26"/>
          <w:szCs w:val="26"/>
        </w:rPr>
        <w:t xml:space="preserve">, pag. 99 e ss.) </w:t>
      </w:r>
      <w:r w:rsidRPr="008E2B66">
        <w:rPr>
          <w:rFonts w:ascii="Garamond" w:hAnsi="Garamond" w:cs="Arial"/>
          <w:sz w:val="26"/>
          <w:szCs w:val="26"/>
        </w:rPr>
        <w:t xml:space="preserve">una particolare attenzione </w:t>
      </w:r>
      <w:r w:rsidR="00D70638" w:rsidRPr="008E2B66">
        <w:rPr>
          <w:rFonts w:ascii="Garamond" w:hAnsi="Garamond" w:cs="Arial"/>
          <w:sz w:val="26"/>
          <w:szCs w:val="26"/>
        </w:rPr>
        <w:t xml:space="preserve">è stata </w:t>
      </w:r>
      <w:r w:rsidR="00384F1D" w:rsidRPr="008E2B66">
        <w:rPr>
          <w:rFonts w:ascii="Garamond" w:hAnsi="Garamond" w:cs="Arial"/>
          <w:sz w:val="26"/>
          <w:szCs w:val="26"/>
        </w:rPr>
        <w:t>riservata alle</w:t>
      </w:r>
      <w:r w:rsidRPr="008E2B66">
        <w:rPr>
          <w:rFonts w:ascii="Garamond" w:hAnsi="Garamond" w:cs="Arial"/>
          <w:sz w:val="26"/>
          <w:szCs w:val="26"/>
        </w:rPr>
        <w:t xml:space="preserve"> misure volte a prevenire ed evitare situazioni di conflitto di interessi in materia di contratti pubblici, in considerazione dello speciale rilievo che la gestione di tale tipologia di conflitto assume nello svolgimento delle procedure di affidamento degli appalti e concessioni, individuato come uno dei settori a maggior rischio corruttivo. </w:t>
      </w:r>
      <w:r w:rsidRPr="008E2B66">
        <w:rPr>
          <w:rFonts w:ascii="Garamond" w:hAnsi="Garamond" w:cs="Arial"/>
          <w:sz w:val="26"/>
          <w:szCs w:val="26"/>
        </w:rPr>
        <w:cr/>
        <w:t>Al riguardo, l’Autorità</w:t>
      </w:r>
      <w:r w:rsidR="00E4669E" w:rsidRPr="008E2B66">
        <w:rPr>
          <w:rFonts w:ascii="Garamond" w:hAnsi="Garamond" w:cs="Arial"/>
          <w:sz w:val="26"/>
          <w:szCs w:val="26"/>
        </w:rPr>
        <w:t xml:space="preserve"> </w:t>
      </w:r>
      <w:r w:rsidRPr="008E2B66">
        <w:rPr>
          <w:rFonts w:ascii="Garamond" w:hAnsi="Garamond" w:cs="Arial"/>
          <w:sz w:val="26"/>
          <w:szCs w:val="26"/>
        </w:rPr>
        <w:t xml:space="preserve">ha ricordato che specifiche disposizioni sono state dettate sia a livello </w:t>
      </w:r>
      <w:r w:rsidRPr="008E2B66">
        <w:rPr>
          <w:rFonts w:ascii="Garamond" w:hAnsi="Garamond" w:cs="Arial"/>
          <w:sz w:val="26"/>
          <w:szCs w:val="26"/>
        </w:rPr>
        <w:lastRenderedPageBreak/>
        <w:t>nazionale (</w:t>
      </w:r>
      <w:r w:rsidR="00D70638" w:rsidRPr="008E2B66">
        <w:rPr>
          <w:rFonts w:ascii="Garamond" w:hAnsi="Garamond" w:cs="Arial"/>
          <w:sz w:val="26"/>
          <w:szCs w:val="26"/>
        </w:rPr>
        <w:t xml:space="preserve">art. 42 del </w:t>
      </w:r>
      <w:r w:rsidR="00566AE6" w:rsidRPr="008E2B66">
        <w:rPr>
          <w:rFonts w:ascii="Garamond" w:hAnsi="Garamond" w:cs="Arial"/>
          <w:sz w:val="26"/>
          <w:szCs w:val="26"/>
        </w:rPr>
        <w:t>D</w:t>
      </w:r>
      <w:r w:rsidR="00D70638" w:rsidRPr="008E2B66">
        <w:rPr>
          <w:rFonts w:ascii="Garamond" w:hAnsi="Garamond" w:cs="Arial"/>
          <w:sz w:val="26"/>
          <w:szCs w:val="26"/>
        </w:rPr>
        <w:t xml:space="preserve">.lgs. n. 50/2016, oggi art. 16 del </w:t>
      </w:r>
      <w:r w:rsidR="00566AE6" w:rsidRPr="008E2B66">
        <w:rPr>
          <w:rFonts w:ascii="Garamond" w:hAnsi="Garamond" w:cs="Arial"/>
          <w:sz w:val="26"/>
          <w:szCs w:val="26"/>
        </w:rPr>
        <w:t>D</w:t>
      </w:r>
      <w:r w:rsidR="00D70638" w:rsidRPr="008E2B66">
        <w:rPr>
          <w:rFonts w:ascii="Garamond" w:hAnsi="Garamond" w:cs="Arial"/>
          <w:sz w:val="26"/>
          <w:szCs w:val="26"/>
        </w:rPr>
        <w:t>.lgs. n. 36/2013</w:t>
      </w:r>
      <w:r w:rsidRPr="008E2B66">
        <w:rPr>
          <w:rFonts w:ascii="Garamond" w:hAnsi="Garamond" w:cs="Arial"/>
          <w:sz w:val="26"/>
          <w:szCs w:val="26"/>
        </w:rPr>
        <w:t>), sia, in ambito europeo, dalla normativa emanata per l’attuazione del PNRR.</w:t>
      </w:r>
    </w:p>
    <w:p w14:paraId="5C7CBF11" w14:textId="10152097" w:rsidR="0085644A" w:rsidRPr="00FB7DE2" w:rsidRDefault="0085644A" w:rsidP="00E55448">
      <w:pPr>
        <w:spacing w:after="80" w:line="276" w:lineRule="auto"/>
        <w:jc w:val="both"/>
        <w:rPr>
          <w:rFonts w:ascii="Garamond" w:hAnsi="Garamond" w:cs="Arial"/>
          <w:i/>
          <w:iCs/>
          <w:sz w:val="26"/>
          <w:szCs w:val="26"/>
        </w:rPr>
      </w:pPr>
      <w:r w:rsidRPr="008E2B66">
        <w:rPr>
          <w:rFonts w:ascii="Garamond" w:hAnsi="Garamond" w:cs="Arial"/>
          <w:sz w:val="26"/>
          <w:szCs w:val="26"/>
        </w:rPr>
        <w:t>In ambito europeo, l’art. 22 del Regolamento UE 241/2021 (</w:t>
      </w:r>
      <w:r w:rsidRPr="00FB7DE2">
        <w:rPr>
          <w:rFonts w:ascii="Garamond" w:hAnsi="Garamond" w:cs="Arial"/>
          <w:i/>
          <w:iCs/>
          <w:sz w:val="26"/>
          <w:szCs w:val="26"/>
        </w:rPr>
        <w:t>Regolamento relativo al dispositivo per la ripresa e la resilienza</w:t>
      </w:r>
      <w:r w:rsidRPr="008E2B66">
        <w:rPr>
          <w:rFonts w:ascii="Garamond" w:hAnsi="Garamond" w:cs="Arial"/>
          <w:sz w:val="26"/>
          <w:szCs w:val="26"/>
        </w:rPr>
        <w:t>), al fine di prevenire situazioni di conflitto di interessi, stabilisce specifiche misure, imponendo, fra l’altro, agli Stati membri, l’obbligo di fornire alla Commissione i dati del titolare effettivo del destinatario dei fondi o dell’appaltatore “</w:t>
      </w:r>
      <w:r w:rsidRPr="00FB7DE2">
        <w:rPr>
          <w:rFonts w:ascii="Garamond" w:hAnsi="Garamond" w:cs="Arial"/>
          <w:i/>
          <w:iCs/>
          <w:sz w:val="26"/>
          <w:szCs w:val="26"/>
        </w:rPr>
        <w:t>in particolare per quanto riguarda la prevenzione, l'individuazione e la rettifica delle frodi, dei casi di corruzione e dei conflitti di interessi”.</w:t>
      </w:r>
    </w:p>
    <w:p w14:paraId="5B3DABB0" w14:textId="29F9EDE3" w:rsidR="0085644A" w:rsidRPr="008E2B66" w:rsidRDefault="0085644A" w:rsidP="00E55448">
      <w:pPr>
        <w:spacing w:after="80" w:line="276" w:lineRule="auto"/>
        <w:jc w:val="both"/>
        <w:rPr>
          <w:rFonts w:ascii="Garamond" w:hAnsi="Garamond" w:cs="Arial"/>
          <w:sz w:val="26"/>
          <w:szCs w:val="26"/>
        </w:rPr>
      </w:pPr>
      <w:r w:rsidRPr="008E2B66">
        <w:rPr>
          <w:rFonts w:ascii="Garamond" w:hAnsi="Garamond" w:cs="Arial"/>
          <w:sz w:val="26"/>
          <w:szCs w:val="26"/>
        </w:rPr>
        <w:t>Le predette misure fissate a livello europeo sono state recepite dallo Stato italiano</w:t>
      </w:r>
      <w:r w:rsidR="00FB7DE2">
        <w:rPr>
          <w:rFonts w:ascii="Garamond" w:hAnsi="Garamond" w:cs="Arial"/>
          <w:sz w:val="26"/>
          <w:szCs w:val="26"/>
        </w:rPr>
        <w:t>,</w:t>
      </w:r>
      <w:r w:rsidRPr="008E2B66">
        <w:rPr>
          <w:rFonts w:ascii="Garamond" w:hAnsi="Garamond" w:cs="Arial"/>
          <w:sz w:val="26"/>
          <w:szCs w:val="26"/>
        </w:rPr>
        <w:t xml:space="preserve"> oltre che in specifiche disposizioni normative, anche in alcuni atti adottati dal ME</w:t>
      </w:r>
      <w:r w:rsidR="00566AE6" w:rsidRPr="008E2B66">
        <w:rPr>
          <w:rFonts w:ascii="Garamond" w:hAnsi="Garamond" w:cs="Arial"/>
          <w:sz w:val="26"/>
          <w:szCs w:val="26"/>
        </w:rPr>
        <w:t>F</w:t>
      </w:r>
      <w:r w:rsidRPr="008E2B66">
        <w:rPr>
          <w:rFonts w:ascii="Garamond" w:hAnsi="Garamond" w:cs="Arial"/>
          <w:sz w:val="26"/>
          <w:szCs w:val="26"/>
        </w:rPr>
        <w:t>, dal Dipartimento della Ragioneria Generale dello Stato e dal Servizio centrale per il PNRR.</w:t>
      </w:r>
    </w:p>
    <w:p w14:paraId="31209062" w14:textId="4B605CC3" w:rsidR="004A2455" w:rsidRPr="008E2B66" w:rsidRDefault="00384F1D" w:rsidP="00E55448">
      <w:pPr>
        <w:autoSpaceDE w:val="0"/>
        <w:autoSpaceDN w:val="0"/>
        <w:adjustRightInd w:val="0"/>
        <w:spacing w:after="80" w:line="276" w:lineRule="auto"/>
        <w:jc w:val="both"/>
        <w:rPr>
          <w:rFonts w:ascii="Garamond" w:hAnsi="Garamond" w:cs="Arial"/>
          <w:i/>
          <w:iCs/>
          <w:sz w:val="26"/>
          <w:szCs w:val="26"/>
        </w:rPr>
      </w:pPr>
      <w:r w:rsidRPr="008E2B66">
        <w:rPr>
          <w:rFonts w:ascii="Garamond" w:hAnsi="Garamond" w:cs="Arial"/>
          <w:sz w:val="26"/>
          <w:szCs w:val="26"/>
        </w:rPr>
        <w:t>S</w:t>
      </w:r>
      <w:r w:rsidR="003C523A" w:rsidRPr="008E2B66">
        <w:rPr>
          <w:rFonts w:ascii="Garamond" w:hAnsi="Garamond" w:cs="Arial"/>
          <w:sz w:val="26"/>
          <w:szCs w:val="26"/>
        </w:rPr>
        <w:t>empre</w:t>
      </w:r>
      <w:r w:rsidR="00D70638" w:rsidRPr="008E2B66">
        <w:rPr>
          <w:rFonts w:ascii="Garamond" w:hAnsi="Garamond" w:cs="Arial"/>
          <w:sz w:val="26"/>
          <w:szCs w:val="26"/>
        </w:rPr>
        <w:t xml:space="preserve"> nel </w:t>
      </w:r>
      <w:r w:rsidRPr="008E2B66">
        <w:rPr>
          <w:rFonts w:ascii="Garamond" w:hAnsi="Garamond" w:cs="Arial"/>
          <w:sz w:val="26"/>
          <w:szCs w:val="26"/>
        </w:rPr>
        <w:t>menzionato</w:t>
      </w:r>
      <w:r w:rsidR="00D70638" w:rsidRPr="008E2B66">
        <w:rPr>
          <w:rFonts w:ascii="Garamond" w:hAnsi="Garamond" w:cs="Arial"/>
          <w:sz w:val="26"/>
          <w:szCs w:val="26"/>
        </w:rPr>
        <w:t xml:space="preserve"> PNA</w:t>
      </w:r>
      <w:r w:rsidRPr="008E2B66">
        <w:rPr>
          <w:rFonts w:ascii="Garamond" w:hAnsi="Garamond" w:cs="Arial"/>
          <w:sz w:val="26"/>
          <w:szCs w:val="26"/>
        </w:rPr>
        <w:t>, è stata</w:t>
      </w:r>
      <w:r w:rsidR="00D70638" w:rsidRPr="008E2B66">
        <w:rPr>
          <w:rFonts w:ascii="Garamond" w:hAnsi="Garamond" w:cs="Arial"/>
          <w:sz w:val="26"/>
          <w:szCs w:val="26"/>
        </w:rPr>
        <w:t xml:space="preserve"> </w:t>
      </w:r>
      <w:r w:rsidR="004A2455" w:rsidRPr="008E2B66">
        <w:rPr>
          <w:rFonts w:ascii="Garamond" w:hAnsi="Garamond" w:cs="Arial"/>
          <w:sz w:val="26"/>
          <w:szCs w:val="26"/>
        </w:rPr>
        <w:t>indica</w:t>
      </w:r>
      <w:r w:rsidR="00E4669E" w:rsidRPr="008E2B66">
        <w:rPr>
          <w:rFonts w:ascii="Garamond" w:hAnsi="Garamond" w:cs="Arial"/>
          <w:sz w:val="26"/>
          <w:szCs w:val="26"/>
        </w:rPr>
        <w:t>t</w:t>
      </w:r>
      <w:r w:rsidRPr="008E2B66">
        <w:rPr>
          <w:rFonts w:ascii="Garamond" w:hAnsi="Garamond" w:cs="Arial"/>
          <w:sz w:val="26"/>
          <w:szCs w:val="26"/>
        </w:rPr>
        <w:t>a</w:t>
      </w:r>
      <w:r w:rsidR="00FB7DE2">
        <w:rPr>
          <w:rFonts w:ascii="Garamond" w:hAnsi="Garamond" w:cs="Arial"/>
          <w:sz w:val="26"/>
          <w:szCs w:val="26"/>
        </w:rPr>
        <w:t>,</w:t>
      </w:r>
      <w:r w:rsidR="004A2455" w:rsidRPr="008E2B66">
        <w:rPr>
          <w:rFonts w:ascii="Garamond" w:hAnsi="Garamond" w:cs="Arial"/>
          <w:sz w:val="26"/>
          <w:szCs w:val="26"/>
        </w:rPr>
        <w:t xml:space="preserve"> quale principale misura per la gestione del conflitto di interessi</w:t>
      </w:r>
      <w:r w:rsidR="00FB7DE2">
        <w:rPr>
          <w:rFonts w:ascii="Garamond" w:hAnsi="Garamond" w:cs="Arial"/>
          <w:sz w:val="26"/>
          <w:szCs w:val="26"/>
        </w:rPr>
        <w:t>,</w:t>
      </w:r>
      <w:r w:rsidR="004A2455" w:rsidRPr="008E2B66">
        <w:rPr>
          <w:rFonts w:ascii="Garamond" w:hAnsi="Garamond" w:cs="Arial"/>
          <w:sz w:val="26"/>
          <w:szCs w:val="26"/>
        </w:rPr>
        <w:t xml:space="preserve"> il c.d. sistema delle dichiarazioni che vengono rese dai dipendenti e dai soggetti esterni coinvolti, dalle successive verifiche e valutazioni svolte dall’amministrazione e dall’obbligo di astensione in caso di sussistenza del conflitto.</w:t>
      </w:r>
      <w:r w:rsidR="006B58C2" w:rsidRPr="008E2B66">
        <w:rPr>
          <w:rFonts w:ascii="Garamond" w:hAnsi="Garamond" w:cs="Arial"/>
          <w:sz w:val="26"/>
          <w:szCs w:val="26"/>
        </w:rPr>
        <w:t xml:space="preserve"> </w:t>
      </w:r>
      <w:r w:rsidR="002D33E8" w:rsidRPr="008E2B66">
        <w:rPr>
          <w:rFonts w:ascii="Garamond" w:hAnsi="Garamond" w:cs="Arial"/>
          <w:sz w:val="26"/>
          <w:szCs w:val="26"/>
        </w:rPr>
        <w:t>“</w:t>
      </w:r>
      <w:r w:rsidR="00B030AE" w:rsidRPr="008E2B66">
        <w:rPr>
          <w:rFonts w:ascii="Garamond" w:hAnsi="Garamond" w:cs="Arial"/>
          <w:i/>
          <w:iCs/>
          <w:sz w:val="26"/>
          <w:szCs w:val="26"/>
        </w:rPr>
        <w:t>Innanzitutto</w:t>
      </w:r>
      <w:r w:rsidRPr="008E2B66">
        <w:rPr>
          <w:rFonts w:ascii="Garamond" w:hAnsi="Garamond" w:cs="Arial"/>
          <w:i/>
          <w:iCs/>
          <w:sz w:val="26"/>
          <w:szCs w:val="26"/>
        </w:rPr>
        <w:t xml:space="preserve"> </w:t>
      </w:r>
      <w:r w:rsidR="00B030AE" w:rsidRPr="008E2B66">
        <w:rPr>
          <w:rFonts w:ascii="Garamond" w:hAnsi="Garamond" w:cs="Arial"/>
          <w:sz w:val="26"/>
          <w:szCs w:val="26"/>
        </w:rPr>
        <w:t>-</w:t>
      </w:r>
      <w:r w:rsidR="00FB7DE2">
        <w:rPr>
          <w:rFonts w:ascii="Garamond" w:hAnsi="Garamond" w:cs="Arial"/>
          <w:sz w:val="26"/>
          <w:szCs w:val="26"/>
        </w:rPr>
        <w:t xml:space="preserve"> afferma</w:t>
      </w:r>
      <w:r w:rsidR="00B030AE" w:rsidRPr="008E2B66">
        <w:rPr>
          <w:rFonts w:ascii="Garamond" w:hAnsi="Garamond" w:cs="Arial"/>
          <w:sz w:val="26"/>
          <w:szCs w:val="26"/>
        </w:rPr>
        <w:t xml:space="preserve"> l’Autorità- </w:t>
      </w:r>
      <w:r w:rsidR="00B030AE" w:rsidRPr="008E2B66">
        <w:rPr>
          <w:rFonts w:ascii="Garamond" w:hAnsi="Garamond" w:cs="Arial"/>
          <w:i/>
          <w:iCs/>
          <w:sz w:val="26"/>
          <w:szCs w:val="26"/>
        </w:rPr>
        <w:t>occorre considerare la dichiarazione da rendere al dirigente all’atto dell’assegnazione all’ufficio, secondo quanto previsto dal Codice di comportamento</w:t>
      </w:r>
      <w:r w:rsidR="00B030AE" w:rsidRPr="008E2B66">
        <w:rPr>
          <w:rStyle w:val="Rimandonotaapidipagina"/>
          <w:rFonts w:ascii="Garamond" w:hAnsi="Garamond" w:cs="Arial"/>
          <w:i/>
          <w:iCs/>
          <w:sz w:val="26"/>
          <w:szCs w:val="26"/>
        </w:rPr>
        <w:footnoteReference w:id="6"/>
      </w:r>
      <w:r w:rsidR="00B030AE" w:rsidRPr="008E2B66">
        <w:rPr>
          <w:rFonts w:ascii="Garamond" w:hAnsi="Garamond" w:cs="Arial"/>
          <w:i/>
          <w:iCs/>
          <w:sz w:val="26"/>
          <w:szCs w:val="26"/>
        </w:rPr>
        <w:t xml:space="preserve"> e del RUP per ogni gara</w:t>
      </w:r>
      <w:r w:rsidR="002D33E8" w:rsidRPr="008E2B66">
        <w:rPr>
          <w:rFonts w:ascii="Garamond" w:hAnsi="Garamond" w:cs="Arial"/>
          <w:i/>
          <w:iCs/>
          <w:sz w:val="26"/>
          <w:szCs w:val="26"/>
        </w:rPr>
        <w:t>”</w:t>
      </w:r>
      <w:r w:rsidR="00B030AE" w:rsidRPr="008E2B66">
        <w:rPr>
          <w:rFonts w:ascii="Garamond" w:hAnsi="Garamond" w:cs="Arial"/>
          <w:i/>
          <w:iCs/>
          <w:sz w:val="26"/>
          <w:szCs w:val="26"/>
        </w:rPr>
        <w:t>.</w:t>
      </w:r>
    </w:p>
    <w:p w14:paraId="5DAAE88C" w14:textId="4AD38F3D" w:rsidR="00856E67" w:rsidRPr="008E2B66" w:rsidRDefault="00856E67" w:rsidP="00E55448">
      <w:pPr>
        <w:autoSpaceDE w:val="0"/>
        <w:autoSpaceDN w:val="0"/>
        <w:adjustRightInd w:val="0"/>
        <w:spacing w:after="80" w:line="276" w:lineRule="auto"/>
        <w:jc w:val="both"/>
        <w:rPr>
          <w:rFonts w:ascii="Garamond" w:eastAsiaTheme="minorHAnsi" w:hAnsi="Garamond" w:cs="Arial"/>
          <w:sz w:val="26"/>
          <w:szCs w:val="26"/>
        </w:rPr>
      </w:pPr>
      <w:r w:rsidRPr="008E2B66">
        <w:rPr>
          <w:rFonts w:ascii="Garamond" w:eastAsiaTheme="minorHAnsi" w:hAnsi="Garamond" w:cs="Arial"/>
          <w:sz w:val="26"/>
          <w:szCs w:val="26"/>
        </w:rPr>
        <w:t xml:space="preserve">Al fine di modulare gli oneri per le stazioni appaltanti, </w:t>
      </w:r>
      <w:r w:rsidR="00F1017D" w:rsidRPr="008E2B66">
        <w:rPr>
          <w:rFonts w:ascii="Garamond" w:eastAsiaTheme="minorHAnsi" w:hAnsi="Garamond" w:cs="Arial"/>
          <w:sz w:val="26"/>
          <w:szCs w:val="26"/>
        </w:rPr>
        <w:t>l’Autorità ha</w:t>
      </w:r>
      <w:r w:rsidR="00384F1D" w:rsidRPr="008E2B66">
        <w:rPr>
          <w:rFonts w:ascii="Garamond" w:eastAsiaTheme="minorHAnsi" w:hAnsi="Garamond" w:cs="Arial"/>
          <w:sz w:val="26"/>
          <w:szCs w:val="26"/>
        </w:rPr>
        <w:t xml:space="preserve"> </w:t>
      </w:r>
      <w:r w:rsidR="008455C3" w:rsidRPr="008E2B66">
        <w:rPr>
          <w:rFonts w:ascii="Garamond" w:eastAsiaTheme="minorHAnsi" w:hAnsi="Garamond" w:cs="Arial"/>
          <w:sz w:val="26"/>
          <w:szCs w:val="26"/>
        </w:rPr>
        <w:t>propost</w:t>
      </w:r>
      <w:r w:rsidR="00F1017D" w:rsidRPr="008E2B66">
        <w:rPr>
          <w:rFonts w:ascii="Garamond" w:eastAsiaTheme="minorHAnsi" w:hAnsi="Garamond" w:cs="Arial"/>
          <w:sz w:val="26"/>
          <w:szCs w:val="26"/>
        </w:rPr>
        <w:t>o</w:t>
      </w:r>
      <w:r w:rsidR="008455C3" w:rsidRPr="008E2B66">
        <w:rPr>
          <w:rFonts w:ascii="Garamond" w:eastAsiaTheme="minorHAnsi" w:hAnsi="Garamond" w:cs="Arial"/>
          <w:sz w:val="26"/>
          <w:szCs w:val="26"/>
        </w:rPr>
        <w:t xml:space="preserve"> </w:t>
      </w:r>
      <w:r w:rsidR="003C523A" w:rsidRPr="008E2B66">
        <w:rPr>
          <w:rFonts w:ascii="Garamond" w:eastAsiaTheme="minorHAnsi" w:hAnsi="Garamond" w:cs="Arial"/>
          <w:sz w:val="26"/>
          <w:szCs w:val="26"/>
        </w:rPr>
        <w:t xml:space="preserve">anche </w:t>
      </w:r>
      <w:r w:rsidRPr="008E2B66">
        <w:rPr>
          <w:rFonts w:ascii="Garamond" w:eastAsiaTheme="minorHAnsi" w:hAnsi="Garamond" w:cs="Arial"/>
          <w:sz w:val="26"/>
          <w:szCs w:val="26"/>
        </w:rPr>
        <w:t>due diverse ipotesi di attuazione del sistema</w:t>
      </w:r>
      <w:r w:rsidR="003D5773" w:rsidRPr="008E2B66">
        <w:rPr>
          <w:rFonts w:ascii="Garamond" w:eastAsiaTheme="minorHAnsi" w:hAnsi="Garamond" w:cs="Arial"/>
          <w:sz w:val="26"/>
          <w:szCs w:val="26"/>
        </w:rPr>
        <w:t xml:space="preserve"> </w:t>
      </w:r>
      <w:r w:rsidRPr="008E2B66">
        <w:rPr>
          <w:rFonts w:ascii="Garamond" w:eastAsiaTheme="minorHAnsi" w:hAnsi="Garamond" w:cs="Arial"/>
          <w:sz w:val="26"/>
          <w:szCs w:val="26"/>
        </w:rPr>
        <w:t>delle dichiarazioni</w:t>
      </w:r>
      <w:r w:rsidR="00FB7DE2">
        <w:rPr>
          <w:rFonts w:ascii="Garamond" w:eastAsiaTheme="minorHAnsi" w:hAnsi="Garamond" w:cs="Arial"/>
          <w:sz w:val="26"/>
          <w:szCs w:val="26"/>
        </w:rPr>
        <w:t>,</w:t>
      </w:r>
      <w:r w:rsidR="008455C3" w:rsidRPr="008E2B66">
        <w:rPr>
          <w:rFonts w:ascii="Garamond" w:eastAsiaTheme="minorHAnsi" w:hAnsi="Garamond" w:cs="Arial"/>
          <w:sz w:val="26"/>
          <w:szCs w:val="26"/>
        </w:rPr>
        <w:t xml:space="preserve"> differenziando tra i contratti che utilizzano fondi PNRR e fondi strutturali e contratti che non utilizzano detti fondi.</w:t>
      </w:r>
    </w:p>
    <w:p w14:paraId="35C602D0" w14:textId="51BD37C8" w:rsidR="003C523A" w:rsidRPr="008E2B66" w:rsidRDefault="004657CE" w:rsidP="00E55448">
      <w:pPr>
        <w:autoSpaceDE w:val="0"/>
        <w:autoSpaceDN w:val="0"/>
        <w:adjustRightInd w:val="0"/>
        <w:spacing w:after="80" w:line="276" w:lineRule="auto"/>
        <w:jc w:val="both"/>
        <w:rPr>
          <w:rFonts w:ascii="Garamond" w:eastAsiaTheme="minorHAnsi" w:hAnsi="Garamond" w:cs="Arial"/>
          <w:sz w:val="26"/>
          <w:szCs w:val="26"/>
        </w:rPr>
      </w:pPr>
      <w:r w:rsidRPr="008E2B66">
        <w:rPr>
          <w:rFonts w:ascii="Garamond" w:eastAsiaTheme="minorHAnsi" w:hAnsi="Garamond" w:cs="Arial"/>
          <w:sz w:val="26"/>
          <w:szCs w:val="26"/>
        </w:rPr>
        <w:t>H</w:t>
      </w:r>
      <w:r w:rsidR="003C523A" w:rsidRPr="008E2B66">
        <w:rPr>
          <w:rFonts w:ascii="Garamond" w:eastAsiaTheme="minorHAnsi" w:hAnsi="Garamond" w:cs="Arial"/>
          <w:sz w:val="26"/>
          <w:szCs w:val="26"/>
        </w:rPr>
        <w:t>a</w:t>
      </w:r>
      <w:r w:rsidRPr="008E2B66">
        <w:rPr>
          <w:rFonts w:ascii="Garamond" w:eastAsiaTheme="minorHAnsi" w:hAnsi="Garamond" w:cs="Arial"/>
          <w:sz w:val="26"/>
          <w:szCs w:val="26"/>
        </w:rPr>
        <w:t>, inoltre,</w:t>
      </w:r>
      <w:r w:rsidR="003C523A" w:rsidRPr="008E2B66">
        <w:rPr>
          <w:rFonts w:ascii="Garamond" w:eastAsiaTheme="minorHAnsi" w:hAnsi="Garamond" w:cs="Arial"/>
          <w:sz w:val="26"/>
          <w:szCs w:val="26"/>
        </w:rPr>
        <w:t xml:space="preserve"> ritenuto opportuno fornire un elenco delle notizie e informazioni utili ai fini dell’elaborazione, da parte di ogni amministrazione, di un proprio </w:t>
      </w:r>
      <w:r w:rsidR="003C523A" w:rsidRPr="00FB7DE2">
        <w:rPr>
          <w:rFonts w:ascii="Garamond" w:eastAsiaTheme="minorHAnsi" w:hAnsi="Garamond" w:cs="Arial"/>
          <w:i/>
          <w:iCs/>
          <w:sz w:val="26"/>
          <w:szCs w:val="26"/>
        </w:rPr>
        <w:t>modello di autodichiarazione</w:t>
      </w:r>
      <w:r w:rsidR="001F2D3C" w:rsidRPr="008E2B66">
        <w:rPr>
          <w:rStyle w:val="Rimandonotaapidipagina"/>
          <w:rFonts w:ascii="Garamond" w:eastAsiaTheme="minorHAnsi" w:hAnsi="Garamond" w:cs="Arial"/>
          <w:sz w:val="26"/>
          <w:szCs w:val="26"/>
        </w:rPr>
        <w:footnoteReference w:id="7"/>
      </w:r>
      <w:r w:rsidR="003C523A" w:rsidRPr="008E2B66">
        <w:rPr>
          <w:rFonts w:ascii="Garamond" w:eastAsiaTheme="minorHAnsi" w:hAnsi="Garamond" w:cs="Arial"/>
          <w:sz w:val="26"/>
          <w:szCs w:val="26"/>
        </w:rPr>
        <w:t>.</w:t>
      </w:r>
    </w:p>
    <w:p w14:paraId="641D7780" w14:textId="7DBBE919" w:rsidR="008F2D88" w:rsidRPr="008E2B66" w:rsidRDefault="008917F1" w:rsidP="00E55448">
      <w:pPr>
        <w:autoSpaceDE w:val="0"/>
        <w:autoSpaceDN w:val="0"/>
        <w:adjustRightInd w:val="0"/>
        <w:spacing w:after="80" w:line="276" w:lineRule="auto"/>
        <w:jc w:val="both"/>
        <w:rPr>
          <w:rFonts w:ascii="Garamond" w:eastAsiaTheme="minorHAnsi" w:hAnsi="Garamond" w:cs="Arial"/>
          <w:sz w:val="26"/>
          <w:szCs w:val="26"/>
        </w:rPr>
      </w:pPr>
      <w:r w:rsidRPr="008E2B66">
        <w:rPr>
          <w:rFonts w:ascii="Garamond" w:eastAsiaTheme="minorHAnsi" w:hAnsi="Garamond" w:cs="Arial"/>
          <w:sz w:val="26"/>
          <w:szCs w:val="26"/>
        </w:rPr>
        <w:t>Nel PNA 2023 (</w:t>
      </w:r>
      <w:r w:rsidR="00B945B2" w:rsidRPr="008E2B66">
        <w:rPr>
          <w:rFonts w:ascii="Garamond" w:eastAsiaTheme="minorHAnsi" w:hAnsi="Garamond" w:cs="Arial"/>
          <w:sz w:val="26"/>
          <w:szCs w:val="26"/>
        </w:rPr>
        <w:t>d</w:t>
      </w:r>
      <w:r w:rsidRPr="008E2B66">
        <w:rPr>
          <w:rFonts w:ascii="Garamond" w:eastAsiaTheme="minorHAnsi" w:hAnsi="Garamond" w:cs="Arial"/>
          <w:sz w:val="26"/>
          <w:szCs w:val="26"/>
        </w:rPr>
        <w:t xml:space="preserve">elibera n. 605 del 19 dicembre 2023) l’Autorità ha precisato che il capitolo sul </w:t>
      </w:r>
      <w:r w:rsidRPr="00B210B5">
        <w:rPr>
          <w:rFonts w:ascii="Garamond" w:eastAsiaTheme="minorHAnsi" w:hAnsi="Garamond" w:cs="Arial"/>
          <w:i/>
          <w:iCs/>
          <w:sz w:val="26"/>
          <w:szCs w:val="26"/>
        </w:rPr>
        <w:t>conflitto di interessi</w:t>
      </w:r>
      <w:r w:rsidRPr="008E2B66">
        <w:rPr>
          <w:rFonts w:ascii="Garamond" w:eastAsiaTheme="minorHAnsi" w:hAnsi="Garamond" w:cs="Arial"/>
          <w:sz w:val="26"/>
          <w:szCs w:val="26"/>
        </w:rPr>
        <w:t xml:space="preserve">, contenuto nella </w:t>
      </w:r>
      <w:r w:rsidRPr="00FB7DE2">
        <w:rPr>
          <w:rFonts w:ascii="Garamond" w:eastAsiaTheme="minorHAnsi" w:hAnsi="Garamond" w:cs="Arial"/>
          <w:i/>
          <w:iCs/>
          <w:sz w:val="26"/>
          <w:szCs w:val="26"/>
        </w:rPr>
        <w:t>parte speciale</w:t>
      </w:r>
      <w:r w:rsidRPr="008E2B66">
        <w:rPr>
          <w:rFonts w:ascii="Garamond" w:eastAsiaTheme="minorHAnsi" w:hAnsi="Garamond" w:cs="Arial"/>
          <w:sz w:val="26"/>
          <w:szCs w:val="26"/>
        </w:rPr>
        <w:t xml:space="preserve"> del PNA 2022, mantiene la sua validità per quanto riguarda i soggetti delle stazioni appaltanti cui spetta fare le dichiarazioni di assenza di conflitti di interessi e i contenuti delle relative dichiarazioni.</w:t>
      </w:r>
    </w:p>
    <w:p w14:paraId="3918A7AC" w14:textId="5BEFBE8E" w:rsidR="00A246AB" w:rsidRPr="000B2961" w:rsidRDefault="009503F9" w:rsidP="00E55448">
      <w:pPr>
        <w:autoSpaceDE w:val="0"/>
        <w:autoSpaceDN w:val="0"/>
        <w:adjustRightInd w:val="0"/>
        <w:spacing w:after="80" w:line="276" w:lineRule="auto"/>
        <w:jc w:val="both"/>
        <w:rPr>
          <w:rFonts w:ascii="Garamond" w:eastAsiaTheme="minorHAnsi" w:hAnsi="Garamond" w:cs="Arial"/>
          <w:sz w:val="26"/>
          <w:szCs w:val="26"/>
        </w:rPr>
      </w:pPr>
      <w:r w:rsidRPr="000B2961">
        <w:rPr>
          <w:rFonts w:ascii="Garamond" w:eastAsiaTheme="minorHAnsi" w:hAnsi="Garamond" w:cs="Arial"/>
          <w:sz w:val="26"/>
          <w:szCs w:val="26"/>
        </w:rPr>
        <w:t>Nel 2025, come programmato</w:t>
      </w:r>
      <w:r w:rsidR="00191E56" w:rsidRPr="000B2961">
        <w:rPr>
          <w:rFonts w:ascii="Garamond" w:eastAsiaTheme="minorHAnsi" w:hAnsi="Garamond" w:cs="Arial"/>
          <w:sz w:val="26"/>
          <w:szCs w:val="26"/>
        </w:rPr>
        <w:t xml:space="preserve"> nel PIAO,</w:t>
      </w:r>
      <w:r w:rsidR="00EE368D" w:rsidRPr="000B2961">
        <w:rPr>
          <w:rFonts w:ascii="Garamond" w:eastAsiaTheme="minorHAnsi" w:hAnsi="Garamond" w:cs="Arial"/>
          <w:sz w:val="26"/>
          <w:szCs w:val="26"/>
        </w:rPr>
        <w:t xml:space="preserve"> </w:t>
      </w:r>
      <w:r w:rsidR="00291749" w:rsidRPr="000B2961">
        <w:rPr>
          <w:rFonts w:ascii="Garamond" w:eastAsiaTheme="minorHAnsi" w:hAnsi="Garamond" w:cs="Arial"/>
          <w:sz w:val="26"/>
          <w:szCs w:val="26"/>
        </w:rPr>
        <w:t xml:space="preserve">l’Ufficio </w:t>
      </w:r>
      <w:r w:rsidR="00FB7DE2" w:rsidRPr="000B2961">
        <w:rPr>
          <w:rFonts w:ascii="Garamond" w:eastAsiaTheme="minorHAnsi" w:hAnsi="Garamond" w:cs="Arial"/>
          <w:i/>
          <w:iCs/>
          <w:sz w:val="26"/>
          <w:szCs w:val="26"/>
        </w:rPr>
        <w:t>N</w:t>
      </w:r>
      <w:r w:rsidR="00291749" w:rsidRPr="000B2961">
        <w:rPr>
          <w:rFonts w:ascii="Garamond" w:eastAsiaTheme="minorHAnsi" w:hAnsi="Garamond" w:cs="Arial"/>
          <w:i/>
          <w:iCs/>
          <w:sz w:val="26"/>
          <w:szCs w:val="26"/>
        </w:rPr>
        <w:t xml:space="preserve">egoziale </w:t>
      </w:r>
      <w:r w:rsidR="00291749" w:rsidRPr="000B2961">
        <w:rPr>
          <w:rFonts w:ascii="Garamond" w:eastAsiaTheme="minorHAnsi" w:hAnsi="Garamond" w:cs="Arial"/>
          <w:sz w:val="26"/>
          <w:szCs w:val="26"/>
        </w:rPr>
        <w:t xml:space="preserve">ha predisposto </w:t>
      </w:r>
      <w:r w:rsidR="00EB1537" w:rsidRPr="000B2961">
        <w:rPr>
          <w:rFonts w:ascii="Garamond" w:eastAsiaTheme="minorHAnsi" w:hAnsi="Garamond" w:cs="Arial"/>
          <w:sz w:val="26"/>
          <w:szCs w:val="26"/>
        </w:rPr>
        <w:t>un d</w:t>
      </w:r>
      <w:r w:rsidR="000E67B5" w:rsidRPr="000B2961">
        <w:rPr>
          <w:rFonts w:ascii="Garamond" w:eastAsiaTheme="minorHAnsi" w:hAnsi="Garamond" w:cs="Arial"/>
          <w:sz w:val="26"/>
          <w:szCs w:val="26"/>
        </w:rPr>
        <w:t xml:space="preserve">ocumento di indirizzo per prevenire e gestire eventuali situazioni di conflitto di </w:t>
      </w:r>
      <w:r w:rsidR="003C3EB0" w:rsidRPr="000B2961">
        <w:rPr>
          <w:rFonts w:ascii="Garamond" w:eastAsiaTheme="minorHAnsi" w:hAnsi="Garamond" w:cs="Arial"/>
          <w:sz w:val="26"/>
          <w:szCs w:val="26"/>
        </w:rPr>
        <w:t>interessi</w:t>
      </w:r>
      <w:r w:rsidR="000E67B5" w:rsidRPr="000B2961">
        <w:rPr>
          <w:rFonts w:ascii="Garamond" w:eastAsiaTheme="minorHAnsi" w:hAnsi="Garamond" w:cs="Arial"/>
          <w:sz w:val="26"/>
          <w:szCs w:val="26"/>
        </w:rPr>
        <w:t xml:space="preserve"> nell’area dei contratti pubblici ivi inclusi quelli gravanti su fondi</w:t>
      </w:r>
      <w:r w:rsidR="003C3EB0" w:rsidRPr="000B2961">
        <w:rPr>
          <w:rFonts w:ascii="Garamond" w:eastAsiaTheme="minorHAnsi" w:hAnsi="Garamond" w:cs="Arial"/>
          <w:sz w:val="26"/>
          <w:szCs w:val="26"/>
        </w:rPr>
        <w:t xml:space="preserve"> strutturali e PNRR.</w:t>
      </w:r>
      <w:r w:rsidR="00F067ED" w:rsidRPr="000B2961">
        <w:rPr>
          <w:rFonts w:ascii="Garamond" w:eastAsiaTheme="minorHAnsi" w:hAnsi="Garamond" w:cs="Arial"/>
          <w:sz w:val="26"/>
          <w:szCs w:val="26"/>
        </w:rPr>
        <w:t xml:space="preserve"> </w:t>
      </w:r>
    </w:p>
    <w:p w14:paraId="3BA074B4" w14:textId="7667CC7F" w:rsidR="00DF468B" w:rsidRPr="008E2B66" w:rsidRDefault="004374E8" w:rsidP="00E55448">
      <w:pPr>
        <w:autoSpaceDE w:val="0"/>
        <w:autoSpaceDN w:val="0"/>
        <w:adjustRightInd w:val="0"/>
        <w:spacing w:after="80" w:line="276" w:lineRule="auto"/>
        <w:jc w:val="both"/>
        <w:rPr>
          <w:rFonts w:ascii="Garamond" w:eastAsiaTheme="minorHAnsi" w:hAnsi="Garamond" w:cs="Arial"/>
          <w:sz w:val="26"/>
          <w:szCs w:val="26"/>
        </w:rPr>
      </w:pPr>
      <w:r w:rsidRPr="000B2961">
        <w:rPr>
          <w:rFonts w:ascii="Garamond" w:eastAsiaTheme="minorHAnsi" w:hAnsi="Garamond" w:cs="Arial"/>
          <w:sz w:val="26"/>
          <w:szCs w:val="26"/>
        </w:rPr>
        <w:t>È</w:t>
      </w:r>
      <w:r w:rsidR="00EB1537" w:rsidRPr="000B2961">
        <w:rPr>
          <w:rFonts w:ascii="Garamond" w:eastAsiaTheme="minorHAnsi" w:hAnsi="Garamond" w:cs="Arial"/>
          <w:sz w:val="26"/>
          <w:szCs w:val="26"/>
        </w:rPr>
        <w:t xml:space="preserve"> stata</w:t>
      </w:r>
      <w:r w:rsidR="00F12F88" w:rsidRPr="000B2961">
        <w:rPr>
          <w:rFonts w:ascii="Garamond" w:eastAsiaTheme="minorHAnsi" w:hAnsi="Garamond" w:cs="Arial"/>
          <w:sz w:val="26"/>
          <w:szCs w:val="26"/>
        </w:rPr>
        <w:t>,</w:t>
      </w:r>
      <w:r w:rsidR="00EB1537" w:rsidRPr="000B2961">
        <w:rPr>
          <w:rFonts w:ascii="Garamond" w:eastAsiaTheme="minorHAnsi" w:hAnsi="Garamond" w:cs="Arial"/>
          <w:sz w:val="26"/>
          <w:szCs w:val="26"/>
        </w:rPr>
        <w:t xml:space="preserve"> infatti</w:t>
      </w:r>
      <w:r w:rsidR="00F12F88" w:rsidRPr="000B2961">
        <w:rPr>
          <w:rFonts w:ascii="Garamond" w:eastAsiaTheme="minorHAnsi" w:hAnsi="Garamond" w:cs="Arial"/>
          <w:sz w:val="26"/>
          <w:szCs w:val="26"/>
        </w:rPr>
        <w:t>,</w:t>
      </w:r>
      <w:r w:rsidR="00EB1537" w:rsidRPr="000B2961">
        <w:rPr>
          <w:rFonts w:ascii="Garamond" w:eastAsiaTheme="minorHAnsi" w:hAnsi="Garamond" w:cs="Arial"/>
          <w:sz w:val="26"/>
          <w:szCs w:val="26"/>
        </w:rPr>
        <w:t xml:space="preserve"> inoltrata a tutti </w:t>
      </w:r>
      <w:r w:rsidR="00FE695E" w:rsidRPr="000B2961">
        <w:rPr>
          <w:rFonts w:ascii="Garamond" w:eastAsiaTheme="minorHAnsi" w:hAnsi="Garamond" w:cs="Arial"/>
          <w:sz w:val="26"/>
          <w:szCs w:val="26"/>
        </w:rPr>
        <w:t xml:space="preserve">i </w:t>
      </w:r>
      <w:r w:rsidR="00191E56" w:rsidRPr="000B2961">
        <w:rPr>
          <w:rFonts w:ascii="Garamond" w:eastAsiaTheme="minorHAnsi" w:hAnsi="Garamond" w:cs="Arial"/>
          <w:sz w:val="26"/>
          <w:szCs w:val="26"/>
        </w:rPr>
        <w:t>D</w:t>
      </w:r>
      <w:r w:rsidR="00FE695E" w:rsidRPr="000B2961">
        <w:rPr>
          <w:rFonts w:ascii="Garamond" w:eastAsiaTheme="minorHAnsi" w:hAnsi="Garamond" w:cs="Arial"/>
          <w:sz w:val="26"/>
          <w:szCs w:val="26"/>
        </w:rPr>
        <w:t>irigenti dell’Amministrazione</w:t>
      </w:r>
      <w:r w:rsidR="00191E56" w:rsidRPr="000B2961">
        <w:rPr>
          <w:rFonts w:ascii="Garamond" w:eastAsiaTheme="minorHAnsi" w:hAnsi="Garamond" w:cs="Arial"/>
          <w:sz w:val="26"/>
          <w:szCs w:val="26"/>
        </w:rPr>
        <w:t xml:space="preserve"> centrale</w:t>
      </w:r>
      <w:r w:rsidR="00FE695E" w:rsidRPr="000B2961">
        <w:rPr>
          <w:rFonts w:ascii="Garamond" w:eastAsiaTheme="minorHAnsi" w:hAnsi="Garamond" w:cs="Arial"/>
          <w:sz w:val="26"/>
          <w:szCs w:val="26"/>
        </w:rPr>
        <w:t xml:space="preserve">, ai Direttori dei Centri e </w:t>
      </w:r>
      <w:r w:rsidR="004A136F" w:rsidRPr="000B2961">
        <w:rPr>
          <w:rFonts w:ascii="Garamond" w:eastAsiaTheme="minorHAnsi" w:hAnsi="Garamond" w:cs="Arial"/>
          <w:sz w:val="26"/>
          <w:szCs w:val="26"/>
        </w:rPr>
        <w:t>ai Responsabili negoziali</w:t>
      </w:r>
      <w:r w:rsidR="00A246AB" w:rsidRPr="000B2961">
        <w:rPr>
          <w:rFonts w:ascii="Garamond" w:eastAsiaTheme="minorHAnsi" w:hAnsi="Garamond" w:cs="Arial"/>
          <w:sz w:val="26"/>
          <w:szCs w:val="26"/>
        </w:rPr>
        <w:t>,</w:t>
      </w:r>
      <w:r w:rsidR="004A136F" w:rsidRPr="000B2961">
        <w:rPr>
          <w:rFonts w:ascii="Garamond" w:eastAsiaTheme="minorHAnsi" w:hAnsi="Garamond" w:cs="Arial"/>
          <w:sz w:val="26"/>
          <w:szCs w:val="26"/>
        </w:rPr>
        <w:t xml:space="preserve"> la nota prot. 93859 del 16</w:t>
      </w:r>
      <w:r w:rsidR="00FB7DE2" w:rsidRPr="000B2961">
        <w:rPr>
          <w:rFonts w:ascii="Garamond" w:eastAsiaTheme="minorHAnsi" w:hAnsi="Garamond" w:cs="Arial"/>
          <w:sz w:val="26"/>
          <w:szCs w:val="26"/>
        </w:rPr>
        <w:t xml:space="preserve"> dicembre </w:t>
      </w:r>
      <w:r w:rsidR="004A136F" w:rsidRPr="000B2961">
        <w:rPr>
          <w:rFonts w:ascii="Garamond" w:eastAsiaTheme="minorHAnsi" w:hAnsi="Garamond" w:cs="Arial"/>
          <w:sz w:val="26"/>
          <w:szCs w:val="26"/>
        </w:rPr>
        <w:t>2025</w:t>
      </w:r>
      <w:r w:rsidR="006209B0" w:rsidRPr="000B2961">
        <w:rPr>
          <w:rFonts w:ascii="Garamond" w:eastAsiaTheme="minorHAnsi" w:hAnsi="Garamond" w:cs="Arial"/>
          <w:sz w:val="26"/>
          <w:szCs w:val="26"/>
        </w:rPr>
        <w:t xml:space="preserve"> sul </w:t>
      </w:r>
      <w:r w:rsidR="006209B0" w:rsidRPr="000B2961">
        <w:rPr>
          <w:rFonts w:ascii="Garamond" w:eastAsiaTheme="minorHAnsi" w:hAnsi="Garamond" w:cs="Arial"/>
          <w:i/>
          <w:iCs/>
          <w:sz w:val="26"/>
          <w:szCs w:val="26"/>
        </w:rPr>
        <w:t>conflitto di interessi nei contratti pubblici</w:t>
      </w:r>
      <w:r w:rsidR="00B52FD5" w:rsidRPr="000B2961">
        <w:rPr>
          <w:rFonts w:ascii="Garamond" w:eastAsiaTheme="minorHAnsi" w:hAnsi="Garamond" w:cs="Arial"/>
          <w:sz w:val="26"/>
          <w:szCs w:val="26"/>
        </w:rPr>
        <w:t xml:space="preserve">, pubblicata al link </w:t>
      </w:r>
      <w:r w:rsidR="004A136F" w:rsidRPr="000B2961">
        <w:rPr>
          <w:rFonts w:ascii="Garamond" w:eastAsiaTheme="minorHAnsi" w:hAnsi="Garamond" w:cs="Arial"/>
          <w:sz w:val="26"/>
          <w:szCs w:val="26"/>
        </w:rPr>
        <w:t xml:space="preserve"> </w:t>
      </w:r>
      <w:hyperlink r:id="rId13" w:history="1">
        <w:r w:rsidR="00F12F88" w:rsidRPr="000B2961">
          <w:rPr>
            <w:rStyle w:val="Collegamentoipertestuale"/>
            <w:rFonts w:ascii="Garamond" w:eastAsiaTheme="minorHAnsi" w:hAnsi="Garamond" w:cs="Arial"/>
            <w:sz w:val="26"/>
            <w:szCs w:val="26"/>
          </w:rPr>
          <w:t>https://www.crea.gov.it/en/note/circolari-uffici</w:t>
        </w:r>
      </w:hyperlink>
      <w:r w:rsidR="005C7FDE" w:rsidRPr="000B2961">
        <w:rPr>
          <w:rFonts w:ascii="Garamond" w:eastAsiaTheme="minorHAnsi" w:hAnsi="Garamond" w:cs="Arial"/>
          <w:sz w:val="26"/>
          <w:szCs w:val="26"/>
        </w:rPr>
        <w:t xml:space="preserve">, con </w:t>
      </w:r>
      <w:r w:rsidR="00191E56" w:rsidRPr="000B2961">
        <w:rPr>
          <w:rFonts w:ascii="Garamond" w:eastAsiaTheme="minorHAnsi" w:hAnsi="Garamond" w:cs="Arial"/>
          <w:sz w:val="26"/>
          <w:szCs w:val="26"/>
        </w:rPr>
        <w:t>cui s</w:t>
      </w:r>
      <w:r w:rsidR="005C7FDE" w:rsidRPr="000B2961">
        <w:rPr>
          <w:rFonts w:ascii="Garamond" w:eastAsiaTheme="minorHAnsi" w:hAnsi="Garamond" w:cs="Arial"/>
          <w:sz w:val="26"/>
          <w:szCs w:val="26"/>
        </w:rPr>
        <w:t xml:space="preserve">ono state </w:t>
      </w:r>
      <w:r w:rsidR="003559E4" w:rsidRPr="000B2961">
        <w:rPr>
          <w:rFonts w:ascii="Garamond" w:eastAsiaTheme="minorHAnsi" w:hAnsi="Garamond" w:cs="Arial"/>
          <w:sz w:val="26"/>
          <w:szCs w:val="26"/>
        </w:rPr>
        <w:t>fornite indicazioni operative e predisposti</w:t>
      </w:r>
      <w:r w:rsidR="00244D65" w:rsidRPr="000B2961">
        <w:rPr>
          <w:rFonts w:ascii="Garamond" w:eastAsiaTheme="minorHAnsi" w:hAnsi="Garamond" w:cs="Arial"/>
          <w:sz w:val="26"/>
          <w:szCs w:val="26"/>
        </w:rPr>
        <w:t xml:space="preserve"> fac-simile di dichiarazione </w:t>
      </w:r>
      <w:r w:rsidR="00C366CA" w:rsidRPr="000B2961">
        <w:rPr>
          <w:rFonts w:ascii="Garamond" w:eastAsiaTheme="minorHAnsi" w:hAnsi="Garamond" w:cs="Arial"/>
          <w:sz w:val="26"/>
          <w:szCs w:val="26"/>
        </w:rPr>
        <w:t>per le</w:t>
      </w:r>
      <w:r w:rsidR="00244D65" w:rsidRPr="000B2961">
        <w:rPr>
          <w:rFonts w:ascii="Garamond" w:eastAsiaTheme="minorHAnsi" w:hAnsi="Garamond" w:cs="Arial"/>
          <w:sz w:val="26"/>
          <w:szCs w:val="26"/>
        </w:rPr>
        <w:t xml:space="preserve"> Commissione giudicatrice (inclusi i segretari) /Seggio di gara (anche monocratico)</w:t>
      </w:r>
      <w:r w:rsidR="000A3B24" w:rsidRPr="000B2961">
        <w:rPr>
          <w:rFonts w:ascii="Garamond" w:eastAsiaTheme="minorHAnsi" w:hAnsi="Garamond" w:cs="Arial"/>
          <w:sz w:val="26"/>
          <w:szCs w:val="26"/>
        </w:rPr>
        <w:t xml:space="preserve"> e</w:t>
      </w:r>
      <w:r w:rsidR="00244D65" w:rsidRPr="000B2961">
        <w:rPr>
          <w:rFonts w:ascii="Garamond" w:eastAsiaTheme="minorHAnsi" w:hAnsi="Garamond" w:cs="Arial"/>
          <w:sz w:val="26"/>
          <w:szCs w:val="26"/>
        </w:rPr>
        <w:t xml:space="preserve"> </w:t>
      </w:r>
      <w:r w:rsidR="00C366CA" w:rsidRPr="000B2961">
        <w:rPr>
          <w:rFonts w:ascii="Garamond" w:eastAsiaTheme="minorHAnsi" w:hAnsi="Garamond" w:cs="Arial"/>
          <w:sz w:val="26"/>
          <w:szCs w:val="26"/>
        </w:rPr>
        <w:t xml:space="preserve">per i </w:t>
      </w:r>
      <w:r w:rsidR="00244D65" w:rsidRPr="000B2961">
        <w:rPr>
          <w:rFonts w:ascii="Garamond" w:eastAsiaTheme="minorHAnsi" w:hAnsi="Garamond" w:cs="Arial"/>
          <w:sz w:val="26"/>
          <w:szCs w:val="26"/>
        </w:rPr>
        <w:t>RUP/DEC/DL/DO, titolari di incarichi che comportano un apporto determinante nel procedimento di affidamento.</w:t>
      </w:r>
      <w:r w:rsidR="003559E4" w:rsidRPr="008E2B66">
        <w:rPr>
          <w:rFonts w:ascii="Garamond" w:eastAsiaTheme="minorHAnsi" w:hAnsi="Garamond" w:cs="Arial"/>
          <w:sz w:val="26"/>
          <w:szCs w:val="26"/>
        </w:rPr>
        <w:t xml:space="preserve"> </w:t>
      </w:r>
    </w:p>
    <w:p w14:paraId="389355B0" w14:textId="77777777" w:rsidR="00D93DCD" w:rsidRPr="008E2B66" w:rsidRDefault="00D93DCD" w:rsidP="00CF76DD">
      <w:pPr>
        <w:spacing w:line="360" w:lineRule="auto"/>
        <w:jc w:val="both"/>
        <w:rPr>
          <w:rFonts w:ascii="Garamond" w:hAnsi="Garamond" w:cs="Arial"/>
          <w:sz w:val="26"/>
          <w:szCs w:val="26"/>
          <w:u w:color="000000"/>
        </w:rPr>
      </w:pPr>
    </w:p>
    <w:p w14:paraId="63CCA069" w14:textId="328E9376" w:rsidR="00D93DCD" w:rsidRPr="008E2B66" w:rsidRDefault="004657CE" w:rsidP="00352748">
      <w:pPr>
        <w:spacing w:after="80" w:line="276" w:lineRule="auto"/>
        <w:jc w:val="both"/>
        <w:rPr>
          <w:rFonts w:ascii="Garamond" w:hAnsi="Garamond" w:cs="Arial"/>
          <w:b/>
          <w:bCs/>
          <w:sz w:val="26"/>
          <w:szCs w:val="26"/>
          <w:u w:color="000000"/>
        </w:rPr>
      </w:pPr>
      <w:r w:rsidRPr="008E2B66">
        <w:rPr>
          <w:rFonts w:ascii="Garamond" w:hAnsi="Garamond" w:cs="Arial"/>
          <w:b/>
          <w:bCs/>
          <w:sz w:val="26"/>
          <w:szCs w:val="26"/>
          <w:u w:color="000000"/>
        </w:rPr>
        <w:t>Acquisizione</w:t>
      </w:r>
      <w:r w:rsidR="00BE49A4" w:rsidRPr="008E2B66">
        <w:rPr>
          <w:rFonts w:ascii="Garamond" w:hAnsi="Garamond" w:cs="Arial"/>
          <w:b/>
          <w:bCs/>
          <w:sz w:val="26"/>
          <w:szCs w:val="26"/>
          <w:u w:color="000000"/>
        </w:rPr>
        <w:t xml:space="preserve"> dei </w:t>
      </w:r>
      <w:r w:rsidR="00BD09E2" w:rsidRPr="008E2B66">
        <w:rPr>
          <w:rFonts w:ascii="Garamond" w:hAnsi="Garamond" w:cs="Arial"/>
          <w:b/>
          <w:bCs/>
          <w:sz w:val="26"/>
          <w:szCs w:val="26"/>
          <w:u w:color="000000"/>
        </w:rPr>
        <w:t>d</w:t>
      </w:r>
      <w:r w:rsidR="00BE49A4" w:rsidRPr="008E2B66">
        <w:rPr>
          <w:rFonts w:ascii="Garamond" w:hAnsi="Garamond" w:cs="Arial"/>
          <w:b/>
          <w:bCs/>
          <w:sz w:val="26"/>
          <w:szCs w:val="26"/>
          <w:u w:color="000000"/>
        </w:rPr>
        <w:t>ati relativi al titolare effettivo de</w:t>
      </w:r>
      <w:r w:rsidR="00EC5353" w:rsidRPr="008E2B66">
        <w:rPr>
          <w:rFonts w:ascii="Garamond" w:hAnsi="Garamond" w:cs="Arial"/>
          <w:b/>
          <w:bCs/>
          <w:sz w:val="26"/>
          <w:szCs w:val="26"/>
          <w:u w:color="000000"/>
        </w:rPr>
        <w:t>gli operatori economici</w:t>
      </w:r>
      <w:r w:rsidR="00BE49A4" w:rsidRPr="008E2B66">
        <w:rPr>
          <w:rFonts w:ascii="Garamond" w:hAnsi="Garamond" w:cs="Arial"/>
          <w:b/>
          <w:bCs/>
          <w:sz w:val="26"/>
          <w:szCs w:val="26"/>
          <w:u w:color="000000"/>
        </w:rPr>
        <w:t xml:space="preserve"> </w:t>
      </w:r>
      <w:r w:rsidR="00EC5353" w:rsidRPr="008E2B66">
        <w:rPr>
          <w:rFonts w:ascii="Garamond" w:hAnsi="Garamond" w:cs="Arial"/>
          <w:b/>
          <w:bCs/>
          <w:sz w:val="26"/>
          <w:szCs w:val="26"/>
          <w:u w:color="000000"/>
        </w:rPr>
        <w:t xml:space="preserve">- </w:t>
      </w:r>
      <w:r w:rsidR="00BE49A4" w:rsidRPr="008E2B66">
        <w:rPr>
          <w:rFonts w:ascii="Garamond" w:hAnsi="Garamond" w:cs="Arial"/>
          <w:b/>
          <w:bCs/>
          <w:sz w:val="26"/>
          <w:szCs w:val="26"/>
          <w:u w:color="000000"/>
        </w:rPr>
        <w:t>contratti pubblici PNRR</w:t>
      </w:r>
      <w:r w:rsidR="00BD09E2" w:rsidRPr="008E2B66">
        <w:rPr>
          <w:rFonts w:ascii="Garamond" w:hAnsi="Garamond" w:cs="Arial"/>
          <w:b/>
          <w:bCs/>
          <w:sz w:val="26"/>
          <w:szCs w:val="26"/>
          <w:u w:color="000000"/>
        </w:rPr>
        <w:t xml:space="preserve"> </w:t>
      </w:r>
    </w:p>
    <w:p w14:paraId="07441A1C" w14:textId="520CB055" w:rsidR="00BE49A4" w:rsidRPr="008E2B66" w:rsidRDefault="00352748" w:rsidP="00352748">
      <w:pPr>
        <w:spacing w:after="80" w:line="276" w:lineRule="auto"/>
        <w:jc w:val="both"/>
        <w:rPr>
          <w:rFonts w:ascii="Garamond" w:hAnsi="Garamond" w:cs="Arial"/>
          <w:sz w:val="26"/>
          <w:szCs w:val="26"/>
          <w:u w:color="000000"/>
        </w:rPr>
      </w:pPr>
      <w:r w:rsidRPr="008E2B66">
        <w:rPr>
          <w:rFonts w:ascii="Garamond" w:hAnsi="Garamond" w:cs="Arial"/>
          <w:sz w:val="26"/>
          <w:szCs w:val="26"/>
          <w:u w:color="000000"/>
        </w:rPr>
        <w:t>N</w:t>
      </w:r>
      <w:r w:rsidR="004657CE" w:rsidRPr="008E2B66">
        <w:rPr>
          <w:rFonts w:ascii="Garamond" w:hAnsi="Garamond" w:cs="Arial"/>
          <w:sz w:val="26"/>
          <w:szCs w:val="26"/>
          <w:u w:color="000000"/>
        </w:rPr>
        <w:t>el PNA 2022 e</w:t>
      </w:r>
      <w:r w:rsidR="004657CE" w:rsidRPr="008E2B66">
        <w:rPr>
          <w:rFonts w:ascii="Garamond" w:hAnsi="Garamond" w:cs="Arial"/>
          <w:b/>
          <w:bCs/>
          <w:sz w:val="26"/>
          <w:szCs w:val="26"/>
          <w:u w:color="000000"/>
        </w:rPr>
        <w:t xml:space="preserve"> </w:t>
      </w:r>
      <w:r w:rsidR="004657CE" w:rsidRPr="008E2B66">
        <w:rPr>
          <w:rFonts w:ascii="Garamond" w:hAnsi="Garamond" w:cs="Arial"/>
          <w:sz w:val="26"/>
          <w:szCs w:val="26"/>
          <w:u w:color="000000"/>
        </w:rPr>
        <w:t>n</w:t>
      </w:r>
      <w:r w:rsidR="00C259FD" w:rsidRPr="008E2B66">
        <w:rPr>
          <w:rFonts w:ascii="Garamond" w:hAnsi="Garamond" w:cs="Arial"/>
          <w:sz w:val="26"/>
          <w:szCs w:val="26"/>
          <w:u w:color="000000"/>
        </w:rPr>
        <w:t xml:space="preserve">elle Linee Guida del MEF </w:t>
      </w:r>
      <w:r w:rsidR="00BE49A4" w:rsidRPr="008E2B66">
        <w:rPr>
          <w:rFonts w:ascii="Garamond" w:hAnsi="Garamond" w:cs="Arial"/>
          <w:sz w:val="26"/>
          <w:szCs w:val="26"/>
          <w:u w:color="000000"/>
        </w:rPr>
        <w:t xml:space="preserve">annesse alla </w:t>
      </w:r>
      <w:hyperlink r:id="rId14" w:history="1">
        <w:r w:rsidR="00BE49A4" w:rsidRPr="008E2B66">
          <w:rPr>
            <w:rStyle w:val="Collegamentoipertestuale"/>
            <w:rFonts w:ascii="Garamond" w:hAnsi="Garamond" w:cs="Arial"/>
            <w:sz w:val="26"/>
            <w:szCs w:val="26"/>
          </w:rPr>
          <w:t>circolare n. 30/2022</w:t>
        </w:r>
      </w:hyperlink>
      <w:r w:rsidR="00BE49A4" w:rsidRPr="008E2B66">
        <w:rPr>
          <w:rFonts w:ascii="Garamond" w:hAnsi="Garamond" w:cs="Arial"/>
          <w:sz w:val="26"/>
          <w:szCs w:val="26"/>
          <w:u w:color="000000"/>
        </w:rPr>
        <w:t xml:space="preserve">, è stata posta grande attenzione alla necessità di garantire la trasparenza dei dati relativi al </w:t>
      </w:r>
      <w:r w:rsidR="00BE49A4" w:rsidRPr="00E22DA9">
        <w:rPr>
          <w:rFonts w:ascii="Garamond" w:hAnsi="Garamond" w:cs="Arial"/>
          <w:i/>
          <w:iCs/>
          <w:sz w:val="26"/>
          <w:szCs w:val="26"/>
          <w:u w:color="000000"/>
        </w:rPr>
        <w:t>titolare effettivo</w:t>
      </w:r>
      <w:r w:rsidR="00325080" w:rsidRPr="008E2B66">
        <w:rPr>
          <w:rStyle w:val="Rimandonotaapidipagina"/>
          <w:rFonts w:ascii="Garamond" w:hAnsi="Garamond" w:cs="Arial"/>
          <w:sz w:val="26"/>
          <w:szCs w:val="26"/>
          <w:u w:color="000000"/>
        </w:rPr>
        <w:footnoteReference w:id="8"/>
      </w:r>
      <w:r w:rsidR="00BE49A4" w:rsidRPr="008E2B66">
        <w:rPr>
          <w:rFonts w:ascii="Garamond" w:hAnsi="Garamond" w:cs="Arial"/>
          <w:sz w:val="26"/>
          <w:szCs w:val="26"/>
          <w:u w:color="000000"/>
        </w:rPr>
        <w:t xml:space="preserve"> dei soggetti partecipanti alle </w:t>
      </w:r>
      <w:r w:rsidR="00E0086D" w:rsidRPr="004E75E5">
        <w:rPr>
          <w:rFonts w:ascii="Garamond" w:hAnsi="Garamond" w:cs="Arial"/>
          <w:sz w:val="26"/>
          <w:szCs w:val="26"/>
          <w:u w:color="000000"/>
        </w:rPr>
        <w:t>procedure di affidamento di appalti pubblici, specialmente quelli finanziati con fondi PNRR, per prevenire frodi, riciclaggio e infiltrazioni mafiose, individuando le persone fisiche che in ultima istanza possiedono o controllano l'impresa</w:t>
      </w:r>
      <w:r w:rsidR="00BE49A4" w:rsidRPr="004E75E5">
        <w:rPr>
          <w:rFonts w:ascii="Garamond" w:hAnsi="Garamond" w:cs="Arial"/>
          <w:sz w:val="26"/>
          <w:szCs w:val="26"/>
          <w:u w:color="000000"/>
        </w:rPr>
        <w:t>.</w:t>
      </w:r>
    </w:p>
    <w:p w14:paraId="30789D20" w14:textId="613E74DB" w:rsidR="00F0593B" w:rsidRPr="008E2B66" w:rsidRDefault="00D220FE" w:rsidP="00352748">
      <w:pPr>
        <w:spacing w:after="80" w:line="276" w:lineRule="auto"/>
        <w:jc w:val="both"/>
        <w:rPr>
          <w:rFonts w:ascii="Garamond" w:hAnsi="Garamond" w:cs="Arial"/>
          <w:i/>
          <w:iCs/>
          <w:strike/>
          <w:sz w:val="26"/>
          <w:szCs w:val="26"/>
          <w:u w:color="000000"/>
        </w:rPr>
      </w:pPr>
      <w:r w:rsidRPr="008E2B66">
        <w:rPr>
          <w:rFonts w:ascii="Garamond" w:hAnsi="Garamond" w:cs="Arial"/>
          <w:sz w:val="26"/>
          <w:szCs w:val="26"/>
          <w:u w:color="000000"/>
        </w:rPr>
        <w:t xml:space="preserve">Tale attenzione è stata rinnovata anche nelle circolari e connesse appendici tematiche della Ragioneria Generale dello </w:t>
      </w:r>
      <w:bookmarkStart w:id="6" w:name="_Hlk183775898"/>
      <w:r w:rsidRPr="008E2B66">
        <w:rPr>
          <w:rFonts w:ascii="Garamond" w:hAnsi="Garamond" w:cs="Arial"/>
          <w:sz w:val="26"/>
          <w:szCs w:val="26"/>
          <w:u w:color="000000"/>
        </w:rPr>
        <w:t xml:space="preserve">Stato </w:t>
      </w:r>
      <w:hyperlink r:id="rId15" w:history="1">
        <w:r w:rsidRPr="008E2B66">
          <w:rPr>
            <w:rStyle w:val="Collegamentoipertestuale"/>
            <w:rFonts w:ascii="Garamond" w:hAnsi="Garamond" w:cs="Arial"/>
            <w:sz w:val="26"/>
            <w:szCs w:val="26"/>
          </w:rPr>
          <w:t>n. 27 del 15 settembre 2023</w:t>
        </w:r>
      </w:hyperlink>
      <w:r w:rsidRPr="008E2B66">
        <w:rPr>
          <w:rFonts w:ascii="Garamond" w:hAnsi="Garamond" w:cs="Arial"/>
          <w:sz w:val="26"/>
          <w:szCs w:val="26"/>
          <w:u w:color="000000"/>
        </w:rPr>
        <w:t xml:space="preserve"> e </w:t>
      </w:r>
      <w:hyperlink r:id="rId16" w:history="1">
        <w:r w:rsidRPr="008E2B66">
          <w:rPr>
            <w:rStyle w:val="Collegamentoipertestuale"/>
            <w:rFonts w:ascii="Garamond" w:hAnsi="Garamond" w:cs="Arial"/>
            <w:sz w:val="26"/>
            <w:szCs w:val="26"/>
          </w:rPr>
          <w:t>n. 13 del 28 marzo 2024</w:t>
        </w:r>
      </w:hyperlink>
      <w:bookmarkEnd w:id="6"/>
      <w:r w:rsidRPr="008E2B66">
        <w:rPr>
          <w:rFonts w:ascii="Garamond" w:hAnsi="Garamond" w:cs="Arial"/>
          <w:sz w:val="26"/>
          <w:szCs w:val="26"/>
          <w:u w:color="000000"/>
        </w:rPr>
        <w:t xml:space="preserve">. </w:t>
      </w:r>
    </w:p>
    <w:p w14:paraId="5FB25F00" w14:textId="4481DEF3" w:rsidR="008F2D88" w:rsidRPr="008E2B66" w:rsidRDefault="00325080" w:rsidP="00E55448">
      <w:pPr>
        <w:spacing w:after="80" w:line="276" w:lineRule="auto"/>
        <w:jc w:val="both"/>
        <w:rPr>
          <w:rFonts w:ascii="Garamond" w:hAnsi="Garamond" w:cs="Arial"/>
          <w:sz w:val="26"/>
          <w:szCs w:val="26"/>
          <w:u w:color="000000"/>
        </w:rPr>
      </w:pPr>
      <w:r w:rsidRPr="006B568A">
        <w:rPr>
          <w:rFonts w:ascii="Garamond" w:hAnsi="Garamond" w:cs="Arial"/>
          <w:sz w:val="26"/>
          <w:szCs w:val="26"/>
          <w:u w:color="000000"/>
        </w:rPr>
        <w:t>L’A</w:t>
      </w:r>
      <w:r w:rsidR="00DA2EA7">
        <w:rPr>
          <w:rFonts w:ascii="Garamond" w:hAnsi="Garamond" w:cs="Arial"/>
          <w:sz w:val="26"/>
          <w:szCs w:val="26"/>
          <w:u w:color="000000"/>
        </w:rPr>
        <w:t>NAC</w:t>
      </w:r>
      <w:r w:rsidR="004657CE" w:rsidRPr="006B568A">
        <w:rPr>
          <w:rFonts w:ascii="Garamond" w:hAnsi="Garamond" w:cs="Arial"/>
          <w:sz w:val="26"/>
          <w:szCs w:val="26"/>
          <w:u w:color="000000"/>
        </w:rPr>
        <w:t xml:space="preserve"> nel</w:t>
      </w:r>
      <w:r w:rsidR="00191E56" w:rsidRPr="006B568A">
        <w:rPr>
          <w:rFonts w:ascii="Garamond" w:hAnsi="Garamond" w:cs="Arial"/>
          <w:sz w:val="26"/>
          <w:szCs w:val="26"/>
          <w:u w:color="000000"/>
        </w:rPr>
        <w:t xml:space="preserve"> predetto</w:t>
      </w:r>
      <w:r w:rsidR="00191E56">
        <w:rPr>
          <w:rFonts w:ascii="Garamond" w:hAnsi="Garamond" w:cs="Arial"/>
          <w:sz w:val="26"/>
          <w:szCs w:val="26"/>
          <w:u w:color="000000"/>
        </w:rPr>
        <w:t xml:space="preserve"> PNA</w:t>
      </w:r>
      <w:r w:rsidR="004657CE" w:rsidRPr="008E2B66">
        <w:rPr>
          <w:rFonts w:ascii="Garamond" w:hAnsi="Garamond" w:cs="Arial"/>
          <w:sz w:val="26"/>
          <w:szCs w:val="26"/>
          <w:u w:color="000000"/>
        </w:rPr>
        <w:t xml:space="preserve"> ha </w:t>
      </w:r>
      <w:r w:rsidRPr="008E2B66">
        <w:rPr>
          <w:rFonts w:ascii="Garamond" w:hAnsi="Garamond" w:cs="Arial"/>
          <w:sz w:val="26"/>
          <w:szCs w:val="26"/>
          <w:u w:color="000000"/>
        </w:rPr>
        <w:t>raccomanda</w:t>
      </w:r>
      <w:r w:rsidR="004657CE" w:rsidRPr="008E2B66">
        <w:rPr>
          <w:rFonts w:ascii="Garamond" w:hAnsi="Garamond" w:cs="Arial"/>
          <w:sz w:val="26"/>
          <w:szCs w:val="26"/>
          <w:u w:color="000000"/>
        </w:rPr>
        <w:t>to</w:t>
      </w:r>
      <w:r w:rsidRPr="008E2B66">
        <w:rPr>
          <w:rFonts w:ascii="Garamond" w:hAnsi="Garamond" w:cs="Arial"/>
          <w:sz w:val="26"/>
          <w:szCs w:val="26"/>
          <w:u w:color="000000"/>
        </w:rPr>
        <w:t xml:space="preserve"> di inserire nella sezione </w:t>
      </w:r>
      <w:r w:rsidR="00191E56">
        <w:rPr>
          <w:rFonts w:ascii="Garamond" w:hAnsi="Garamond" w:cs="Arial"/>
          <w:i/>
          <w:iCs/>
          <w:sz w:val="26"/>
          <w:szCs w:val="26"/>
          <w:u w:color="000000"/>
        </w:rPr>
        <w:t>A</w:t>
      </w:r>
      <w:r w:rsidRPr="007A4A67">
        <w:rPr>
          <w:rFonts w:ascii="Garamond" w:hAnsi="Garamond" w:cs="Arial"/>
          <w:i/>
          <w:iCs/>
          <w:sz w:val="26"/>
          <w:szCs w:val="26"/>
          <w:u w:color="000000"/>
        </w:rPr>
        <w:t xml:space="preserve">nticorruzione e </w:t>
      </w:r>
      <w:r w:rsidR="00191E56">
        <w:rPr>
          <w:rFonts w:ascii="Garamond" w:hAnsi="Garamond" w:cs="Arial"/>
          <w:i/>
          <w:iCs/>
          <w:sz w:val="26"/>
          <w:szCs w:val="26"/>
          <w:u w:color="000000"/>
        </w:rPr>
        <w:t>T</w:t>
      </w:r>
      <w:r w:rsidRPr="007A4A67">
        <w:rPr>
          <w:rFonts w:ascii="Garamond" w:hAnsi="Garamond" w:cs="Arial"/>
          <w:i/>
          <w:iCs/>
          <w:sz w:val="26"/>
          <w:szCs w:val="26"/>
          <w:u w:color="000000"/>
        </w:rPr>
        <w:t>rasparenza</w:t>
      </w:r>
      <w:r w:rsidRPr="008E2B66">
        <w:rPr>
          <w:rFonts w:ascii="Garamond" w:hAnsi="Garamond" w:cs="Arial"/>
          <w:sz w:val="26"/>
          <w:szCs w:val="26"/>
          <w:u w:color="000000"/>
        </w:rPr>
        <w:t xml:space="preserve"> dei PIAO</w:t>
      </w:r>
      <w:r w:rsidR="008917F1" w:rsidRPr="008E2B66">
        <w:rPr>
          <w:rFonts w:ascii="Garamond" w:hAnsi="Garamond" w:cs="Arial"/>
          <w:sz w:val="26"/>
          <w:szCs w:val="26"/>
          <w:u w:color="000000"/>
        </w:rPr>
        <w:t>,</w:t>
      </w:r>
      <w:r w:rsidRPr="008E2B66">
        <w:rPr>
          <w:rFonts w:ascii="Garamond" w:hAnsi="Garamond" w:cs="Arial"/>
          <w:sz w:val="26"/>
          <w:szCs w:val="26"/>
          <w:u w:color="000000"/>
        </w:rPr>
        <w:t xml:space="preserve"> quale misura di prevenzione della corruzione</w:t>
      </w:r>
      <w:r w:rsidR="008917F1" w:rsidRPr="008E2B66">
        <w:rPr>
          <w:rFonts w:ascii="Garamond" w:hAnsi="Garamond" w:cs="Arial"/>
          <w:sz w:val="26"/>
          <w:szCs w:val="26"/>
          <w:u w:color="000000"/>
        </w:rPr>
        <w:t>,</w:t>
      </w:r>
      <w:r w:rsidRPr="008E2B66">
        <w:rPr>
          <w:rFonts w:ascii="Garamond" w:hAnsi="Garamond" w:cs="Arial"/>
          <w:sz w:val="26"/>
          <w:szCs w:val="26"/>
          <w:u w:color="000000"/>
        </w:rPr>
        <w:t xml:space="preserve"> la richiesta alle S</w:t>
      </w:r>
      <w:r w:rsidR="007A4A67">
        <w:rPr>
          <w:rFonts w:ascii="Garamond" w:hAnsi="Garamond" w:cs="Arial"/>
          <w:sz w:val="26"/>
          <w:szCs w:val="26"/>
          <w:u w:color="000000"/>
        </w:rPr>
        <w:t>tazioni appaltanti</w:t>
      </w:r>
      <w:r w:rsidRPr="008E2B66">
        <w:rPr>
          <w:rFonts w:ascii="Garamond" w:hAnsi="Garamond" w:cs="Arial"/>
          <w:sz w:val="26"/>
          <w:szCs w:val="26"/>
          <w:u w:color="000000"/>
        </w:rPr>
        <w:t xml:space="preserve"> </w:t>
      </w:r>
      <w:r w:rsidR="00DF468B" w:rsidRPr="008E2B66">
        <w:rPr>
          <w:rFonts w:ascii="Garamond" w:hAnsi="Garamond" w:cs="Arial"/>
          <w:sz w:val="26"/>
          <w:szCs w:val="26"/>
          <w:u w:color="000000"/>
        </w:rPr>
        <w:t xml:space="preserve">di far </w:t>
      </w:r>
      <w:r w:rsidRPr="008E2B66">
        <w:rPr>
          <w:rFonts w:ascii="Garamond" w:hAnsi="Garamond" w:cs="Arial"/>
          <w:sz w:val="26"/>
          <w:szCs w:val="26"/>
          <w:u w:color="000000"/>
        </w:rPr>
        <w:t>dichiarare il titolare effettivo</w:t>
      </w:r>
      <w:r w:rsidR="001F45A7" w:rsidRPr="008E2B66">
        <w:rPr>
          <w:rFonts w:ascii="Garamond" w:hAnsi="Garamond" w:cs="Arial"/>
          <w:sz w:val="26"/>
          <w:szCs w:val="26"/>
          <w:u w:color="000000"/>
        </w:rPr>
        <w:t>.</w:t>
      </w:r>
    </w:p>
    <w:p w14:paraId="6DC6D37A" w14:textId="56BAD852" w:rsidR="00804086" w:rsidRPr="008E2B66" w:rsidRDefault="006E6375" w:rsidP="00325080">
      <w:pPr>
        <w:spacing w:line="360" w:lineRule="auto"/>
        <w:jc w:val="both"/>
        <w:rPr>
          <w:rFonts w:ascii="Garamond" w:hAnsi="Garamond" w:cs="Arial"/>
          <w:sz w:val="26"/>
          <w:szCs w:val="26"/>
          <w:u w:color="000000"/>
        </w:rPr>
      </w:pPr>
      <w:r w:rsidRPr="00DA2EA7">
        <w:rPr>
          <w:rFonts w:ascii="Garamond" w:hAnsi="Garamond" w:cs="Arial"/>
          <w:sz w:val="26"/>
          <w:szCs w:val="26"/>
          <w:u w:color="000000"/>
        </w:rPr>
        <w:t>Come programmato c</w:t>
      </w:r>
      <w:r w:rsidR="00CC5A9D" w:rsidRPr="00DA2EA7">
        <w:rPr>
          <w:rFonts w:ascii="Garamond" w:hAnsi="Garamond" w:cs="Arial"/>
          <w:sz w:val="26"/>
          <w:szCs w:val="26"/>
          <w:u w:color="000000"/>
        </w:rPr>
        <w:t>on il</w:t>
      </w:r>
      <w:r w:rsidR="009C49C6" w:rsidRPr="00DA2EA7">
        <w:rPr>
          <w:rFonts w:ascii="Garamond" w:hAnsi="Garamond" w:cs="Arial"/>
          <w:sz w:val="26"/>
          <w:szCs w:val="26"/>
          <w:u w:color="000000"/>
        </w:rPr>
        <w:t xml:space="preserve"> PIAO 2</w:t>
      </w:r>
      <w:r w:rsidR="00D56613" w:rsidRPr="00DA2EA7">
        <w:rPr>
          <w:rFonts w:ascii="Garamond" w:hAnsi="Garamond" w:cs="Arial"/>
          <w:sz w:val="26"/>
          <w:szCs w:val="26"/>
          <w:u w:color="000000"/>
        </w:rPr>
        <w:t>0</w:t>
      </w:r>
      <w:r w:rsidR="009C49C6" w:rsidRPr="00DA2EA7">
        <w:rPr>
          <w:rFonts w:ascii="Garamond" w:hAnsi="Garamond" w:cs="Arial"/>
          <w:sz w:val="26"/>
          <w:szCs w:val="26"/>
          <w:u w:color="000000"/>
        </w:rPr>
        <w:t>25-2027</w:t>
      </w:r>
      <w:r w:rsidR="00DA2EA7">
        <w:rPr>
          <w:rFonts w:ascii="Garamond" w:hAnsi="Garamond" w:cs="Arial"/>
          <w:sz w:val="26"/>
          <w:szCs w:val="26"/>
          <w:u w:color="000000"/>
        </w:rPr>
        <w:t xml:space="preserve"> e come emerso dai monitoraggi</w:t>
      </w:r>
      <w:r w:rsidR="00876537">
        <w:rPr>
          <w:rFonts w:ascii="Garamond" w:hAnsi="Garamond" w:cs="Arial"/>
          <w:sz w:val="26"/>
          <w:szCs w:val="26"/>
          <w:u w:color="000000"/>
        </w:rPr>
        <w:t xml:space="preserve"> effettuati,</w:t>
      </w:r>
      <w:r w:rsidR="00CF6609" w:rsidRPr="00DA2EA7">
        <w:rPr>
          <w:rFonts w:ascii="Garamond" w:hAnsi="Garamond" w:cs="Arial"/>
          <w:sz w:val="26"/>
          <w:szCs w:val="26"/>
          <w:u w:color="000000"/>
        </w:rPr>
        <w:t xml:space="preserve"> </w:t>
      </w:r>
      <w:r w:rsidR="00B25135" w:rsidRPr="00DA2EA7">
        <w:rPr>
          <w:rFonts w:ascii="Garamond" w:hAnsi="Garamond" w:cs="Arial"/>
          <w:sz w:val="26"/>
          <w:szCs w:val="26"/>
          <w:u w:color="000000"/>
        </w:rPr>
        <w:t>nel corso del 2025</w:t>
      </w:r>
      <w:r w:rsidR="00191E56" w:rsidRPr="00DA2EA7">
        <w:rPr>
          <w:rFonts w:ascii="Garamond" w:hAnsi="Garamond" w:cs="Arial"/>
          <w:sz w:val="26"/>
          <w:szCs w:val="26"/>
          <w:u w:color="000000"/>
        </w:rPr>
        <w:t>,</w:t>
      </w:r>
      <w:r w:rsidR="00B25135" w:rsidRPr="00DA2EA7">
        <w:rPr>
          <w:rFonts w:ascii="Garamond" w:hAnsi="Garamond" w:cs="Arial"/>
          <w:sz w:val="26"/>
          <w:szCs w:val="26"/>
          <w:u w:color="000000"/>
        </w:rPr>
        <w:t xml:space="preserve"> </w:t>
      </w:r>
      <w:r w:rsidR="00924B12" w:rsidRPr="00DA2EA7">
        <w:rPr>
          <w:rFonts w:ascii="Garamond" w:hAnsi="Garamond" w:cs="Arial"/>
          <w:sz w:val="26"/>
          <w:szCs w:val="26"/>
          <w:u w:color="000000"/>
        </w:rPr>
        <w:t xml:space="preserve">i RUP hanno </w:t>
      </w:r>
      <w:r w:rsidR="00191E56" w:rsidRPr="00DA2EA7">
        <w:rPr>
          <w:rFonts w:ascii="Garamond" w:hAnsi="Garamond" w:cs="Arial"/>
          <w:sz w:val="26"/>
          <w:szCs w:val="26"/>
          <w:u w:color="000000"/>
        </w:rPr>
        <w:t>acquisito</w:t>
      </w:r>
      <w:r w:rsidRPr="00DA2EA7">
        <w:rPr>
          <w:rFonts w:ascii="Garamond" w:hAnsi="Garamond" w:cs="Arial"/>
          <w:sz w:val="26"/>
          <w:szCs w:val="26"/>
          <w:u w:color="000000"/>
        </w:rPr>
        <w:t>, per ogni procedura di affidamento, la dichiarazione con cui gli operatori economici comunicano i dati sulla titolarità effettiva</w:t>
      </w:r>
      <w:r w:rsidR="00924B12" w:rsidRPr="00876537">
        <w:rPr>
          <w:rFonts w:ascii="Garamond" w:hAnsi="Garamond" w:cs="Arial"/>
          <w:sz w:val="26"/>
          <w:szCs w:val="26"/>
          <w:u w:color="000000"/>
        </w:rPr>
        <w:t>.</w:t>
      </w:r>
    </w:p>
    <w:p w14:paraId="061366C4" w14:textId="77777777" w:rsidR="00D220FE" w:rsidRPr="008E2B66" w:rsidRDefault="00D220FE" w:rsidP="00D44289">
      <w:pPr>
        <w:pStyle w:val="Paragrafoelenco"/>
        <w:autoSpaceDE w:val="0"/>
        <w:autoSpaceDN w:val="0"/>
        <w:adjustRightInd w:val="0"/>
        <w:spacing w:line="360" w:lineRule="auto"/>
        <w:ind w:left="0"/>
        <w:jc w:val="both"/>
        <w:rPr>
          <w:rFonts w:ascii="Garamond" w:hAnsi="Garamond" w:cs="Arial"/>
          <w:sz w:val="26"/>
          <w:szCs w:val="26"/>
          <w:u w:color="000000"/>
        </w:rPr>
      </w:pPr>
    </w:p>
    <w:p w14:paraId="6E31F9C4" w14:textId="7DD2385D" w:rsidR="004A7447" w:rsidRPr="008E2B66" w:rsidRDefault="00FA03AB" w:rsidP="00E55448">
      <w:pPr>
        <w:autoSpaceDE w:val="0"/>
        <w:autoSpaceDN w:val="0"/>
        <w:adjustRightInd w:val="0"/>
        <w:spacing w:after="80" w:line="276" w:lineRule="auto"/>
        <w:jc w:val="both"/>
        <w:rPr>
          <w:rFonts w:ascii="Garamond" w:eastAsia="Arial Unicode MS" w:hAnsi="Garamond" w:cs="Arial"/>
          <w:b/>
          <w:bCs/>
          <w:sz w:val="26"/>
          <w:szCs w:val="26"/>
          <w:u w:color="000000"/>
          <w:bdr w:val="nil"/>
          <w:lang w:eastAsia="it-IT"/>
        </w:rPr>
      </w:pPr>
      <w:r w:rsidRPr="008E2B66">
        <w:rPr>
          <w:rFonts w:ascii="Garamond" w:eastAsia="Arial Unicode MS" w:hAnsi="Garamond" w:cs="Arial"/>
          <w:b/>
          <w:bCs/>
          <w:sz w:val="26"/>
          <w:szCs w:val="26"/>
          <w:u w:color="000000"/>
          <w:bdr w:val="nil"/>
          <w:lang w:eastAsia="it-IT"/>
        </w:rPr>
        <w:t>Formazione di commissioni</w:t>
      </w:r>
      <w:r w:rsidR="009E6E93" w:rsidRPr="008E2B66">
        <w:rPr>
          <w:rFonts w:ascii="Garamond" w:eastAsia="Arial Unicode MS" w:hAnsi="Garamond" w:cs="Arial"/>
          <w:b/>
          <w:bCs/>
          <w:sz w:val="26"/>
          <w:szCs w:val="26"/>
          <w:u w:color="000000"/>
          <w:bdr w:val="nil"/>
          <w:lang w:eastAsia="it-IT"/>
        </w:rPr>
        <w:t xml:space="preserve"> e </w:t>
      </w:r>
      <w:r w:rsidRPr="008E2B66">
        <w:rPr>
          <w:rFonts w:ascii="Garamond" w:eastAsia="Arial Unicode MS" w:hAnsi="Garamond" w:cs="Arial"/>
          <w:b/>
          <w:bCs/>
          <w:sz w:val="26"/>
          <w:szCs w:val="26"/>
          <w:u w:color="000000"/>
          <w:bdr w:val="nil"/>
          <w:lang w:eastAsia="it-IT"/>
        </w:rPr>
        <w:t>assegnazioni agli uffici</w:t>
      </w:r>
      <w:r w:rsidR="009E6E93" w:rsidRPr="008E2B66">
        <w:rPr>
          <w:rFonts w:ascii="Garamond" w:eastAsia="Arial Unicode MS" w:hAnsi="Garamond" w:cs="Arial"/>
          <w:b/>
          <w:bCs/>
          <w:sz w:val="26"/>
          <w:szCs w:val="26"/>
          <w:u w:color="000000"/>
          <w:bdr w:val="nil"/>
          <w:lang w:eastAsia="it-IT"/>
        </w:rPr>
        <w:t xml:space="preserve"> </w:t>
      </w:r>
      <w:r w:rsidRPr="008E2B66">
        <w:rPr>
          <w:rFonts w:ascii="Garamond" w:eastAsia="Arial Unicode MS" w:hAnsi="Garamond" w:cs="Arial"/>
          <w:b/>
          <w:bCs/>
          <w:sz w:val="26"/>
          <w:szCs w:val="26"/>
          <w:u w:color="000000"/>
          <w:bdr w:val="nil"/>
          <w:lang w:eastAsia="it-IT"/>
        </w:rPr>
        <w:t>in caso di condanna penale per delitti contro la pubblica amministrazione</w:t>
      </w:r>
      <w:r w:rsidR="007610E5" w:rsidRPr="008E2B66">
        <w:rPr>
          <w:rFonts w:ascii="Garamond" w:eastAsia="Arial Unicode MS" w:hAnsi="Garamond" w:cs="Arial"/>
          <w:b/>
          <w:bCs/>
          <w:sz w:val="26"/>
          <w:szCs w:val="26"/>
          <w:u w:color="000000"/>
          <w:bdr w:val="nil"/>
          <w:lang w:eastAsia="it-IT"/>
        </w:rPr>
        <w:t>: art. 35-bis del D.</w:t>
      </w:r>
      <w:r w:rsidR="00566AE6" w:rsidRPr="008E2B66">
        <w:rPr>
          <w:rFonts w:ascii="Garamond" w:eastAsia="Arial Unicode MS" w:hAnsi="Garamond" w:cs="Arial"/>
          <w:b/>
          <w:bCs/>
          <w:sz w:val="26"/>
          <w:szCs w:val="26"/>
          <w:u w:color="000000"/>
          <w:bdr w:val="nil"/>
          <w:lang w:eastAsia="it-IT"/>
        </w:rPr>
        <w:t>l</w:t>
      </w:r>
      <w:r w:rsidR="007610E5" w:rsidRPr="008E2B66">
        <w:rPr>
          <w:rFonts w:ascii="Garamond" w:eastAsia="Arial Unicode MS" w:hAnsi="Garamond" w:cs="Arial"/>
          <w:b/>
          <w:bCs/>
          <w:sz w:val="26"/>
          <w:szCs w:val="26"/>
          <w:u w:color="000000"/>
          <w:bdr w:val="nil"/>
          <w:lang w:eastAsia="it-IT"/>
        </w:rPr>
        <w:t>gs. n. 165/2001</w:t>
      </w:r>
    </w:p>
    <w:p w14:paraId="15A707C2" w14:textId="3E6D0BDE" w:rsidR="001F049C" w:rsidRPr="008E2B66" w:rsidRDefault="00175092" w:rsidP="00E55448">
      <w:pPr>
        <w:spacing w:after="80" w:line="276" w:lineRule="auto"/>
        <w:jc w:val="both"/>
        <w:rPr>
          <w:rFonts w:ascii="Garamond" w:hAnsi="Garamond" w:cs="Arial"/>
          <w:sz w:val="26"/>
          <w:szCs w:val="26"/>
          <w:u w:color="000000"/>
        </w:rPr>
      </w:pPr>
      <w:r w:rsidRPr="00787A89">
        <w:rPr>
          <w:rFonts w:ascii="Garamond" w:hAnsi="Garamond" w:cs="Arial"/>
          <w:sz w:val="26"/>
          <w:szCs w:val="26"/>
          <w:u w:color="000000"/>
        </w:rPr>
        <w:t xml:space="preserve">Per le modalità </w:t>
      </w:r>
      <w:r w:rsidR="00724BDB" w:rsidRPr="00787A89">
        <w:rPr>
          <w:rFonts w:ascii="Garamond" w:hAnsi="Garamond" w:cs="Arial"/>
          <w:sz w:val="26"/>
          <w:szCs w:val="26"/>
          <w:u w:color="000000"/>
        </w:rPr>
        <w:t xml:space="preserve">di attuazione </w:t>
      </w:r>
      <w:r w:rsidR="00A12645" w:rsidRPr="00787A89">
        <w:rPr>
          <w:rFonts w:ascii="Garamond" w:hAnsi="Garamond" w:cs="Arial"/>
          <w:sz w:val="26"/>
          <w:szCs w:val="26"/>
          <w:u w:color="000000"/>
        </w:rPr>
        <w:t xml:space="preserve">della misura </w:t>
      </w:r>
      <w:r w:rsidRPr="00787A89">
        <w:rPr>
          <w:rFonts w:ascii="Garamond" w:hAnsi="Garamond" w:cs="Arial"/>
          <w:sz w:val="26"/>
          <w:szCs w:val="26"/>
          <w:u w:color="000000"/>
        </w:rPr>
        <w:t xml:space="preserve">e per i </w:t>
      </w:r>
      <w:r w:rsidR="000811DD" w:rsidRPr="00787A89">
        <w:rPr>
          <w:rFonts w:ascii="Garamond" w:hAnsi="Garamond" w:cs="Arial"/>
          <w:sz w:val="26"/>
          <w:szCs w:val="26"/>
          <w:u w:color="000000"/>
        </w:rPr>
        <w:t>Responsabili si</w:t>
      </w:r>
      <w:r w:rsidRPr="00787A89">
        <w:rPr>
          <w:rFonts w:ascii="Garamond" w:hAnsi="Garamond" w:cs="Arial"/>
          <w:sz w:val="26"/>
          <w:szCs w:val="26"/>
          <w:u w:color="000000"/>
        </w:rPr>
        <w:t xml:space="preserve"> rinvia </w:t>
      </w:r>
      <w:r w:rsidR="00AA24E9" w:rsidRPr="00787A89">
        <w:rPr>
          <w:rFonts w:ascii="Garamond" w:hAnsi="Garamond" w:cs="Arial"/>
          <w:sz w:val="26"/>
          <w:szCs w:val="26"/>
          <w:u w:color="000000"/>
        </w:rPr>
        <w:t>a pagina 38 del</w:t>
      </w:r>
      <w:r w:rsidRPr="00787A89">
        <w:rPr>
          <w:rFonts w:ascii="Garamond" w:hAnsi="Garamond" w:cs="Arial"/>
          <w:sz w:val="26"/>
          <w:szCs w:val="26"/>
          <w:u w:color="000000"/>
        </w:rPr>
        <w:t xml:space="preserve"> </w:t>
      </w:r>
      <w:hyperlink r:id="rId17" w:history="1">
        <w:r w:rsidR="00841DD6" w:rsidRPr="00787A89">
          <w:rPr>
            <w:rStyle w:val="Collegamentoipertestuale"/>
            <w:rFonts w:ascii="Garamond" w:eastAsia="Arial Unicode MS" w:hAnsi="Garamond" w:cs="Arial"/>
            <w:sz w:val="26"/>
            <w:szCs w:val="26"/>
            <w:bdr w:val="nil"/>
            <w:lang w:eastAsia="it-IT"/>
          </w:rPr>
          <w:t>PIAO 2024</w:t>
        </w:r>
        <w:r w:rsidR="00191E56" w:rsidRPr="00787A89">
          <w:rPr>
            <w:rStyle w:val="Collegamentoipertestuale"/>
            <w:rFonts w:ascii="Garamond" w:eastAsia="Arial Unicode MS" w:hAnsi="Garamond" w:cs="Arial"/>
            <w:sz w:val="26"/>
            <w:szCs w:val="26"/>
            <w:bdr w:val="nil"/>
            <w:lang w:eastAsia="it-IT"/>
          </w:rPr>
          <w:t>/</w:t>
        </w:r>
        <w:r w:rsidR="00841DD6" w:rsidRPr="00787A89">
          <w:rPr>
            <w:rStyle w:val="Collegamentoipertestuale"/>
            <w:rFonts w:ascii="Garamond" w:eastAsia="Arial Unicode MS" w:hAnsi="Garamond" w:cs="Arial"/>
            <w:sz w:val="26"/>
            <w:szCs w:val="26"/>
            <w:bdr w:val="nil"/>
            <w:lang w:eastAsia="it-IT"/>
          </w:rPr>
          <w:t>2026</w:t>
        </w:r>
      </w:hyperlink>
      <w:r w:rsidR="00AA24E9" w:rsidRPr="00787A89">
        <w:rPr>
          <w:rFonts w:ascii="Garamond" w:hAnsi="Garamond" w:cs="Arial"/>
          <w:sz w:val="26"/>
          <w:szCs w:val="26"/>
          <w:u w:color="000000"/>
        </w:rPr>
        <w:t>.</w:t>
      </w:r>
      <w:r w:rsidR="001F049C" w:rsidRPr="008E2B66">
        <w:rPr>
          <w:rFonts w:ascii="Garamond" w:hAnsi="Garamond" w:cs="Arial"/>
          <w:sz w:val="26"/>
          <w:szCs w:val="26"/>
          <w:u w:color="000000"/>
        </w:rPr>
        <w:t xml:space="preserve"> Anche per il 202</w:t>
      </w:r>
      <w:r w:rsidR="0048603F" w:rsidRPr="008E2B66">
        <w:rPr>
          <w:rFonts w:ascii="Garamond" w:hAnsi="Garamond" w:cs="Arial"/>
          <w:sz w:val="26"/>
          <w:szCs w:val="26"/>
          <w:u w:color="000000"/>
        </w:rPr>
        <w:t>6</w:t>
      </w:r>
      <w:r w:rsidR="001F049C" w:rsidRPr="008E2B66">
        <w:rPr>
          <w:rFonts w:ascii="Garamond" w:hAnsi="Garamond" w:cs="Arial"/>
          <w:sz w:val="26"/>
          <w:szCs w:val="26"/>
          <w:u w:color="000000"/>
        </w:rPr>
        <w:t xml:space="preserve"> è </w:t>
      </w:r>
      <w:r w:rsidR="00694AF4" w:rsidRPr="008E2B66">
        <w:rPr>
          <w:rFonts w:ascii="Garamond" w:hAnsi="Garamond" w:cs="Arial"/>
          <w:sz w:val="26"/>
          <w:szCs w:val="26"/>
          <w:u w:color="000000"/>
        </w:rPr>
        <w:t>stato</w:t>
      </w:r>
      <w:r w:rsidR="00694AF4" w:rsidRPr="008E2B66">
        <w:rPr>
          <w:rFonts w:ascii="Garamond" w:hAnsi="Garamond" w:cs="Arial"/>
          <w:b/>
          <w:bCs/>
          <w:sz w:val="26"/>
          <w:szCs w:val="26"/>
          <w:u w:color="000000"/>
        </w:rPr>
        <w:t xml:space="preserve"> </w:t>
      </w:r>
      <w:r w:rsidR="001F049C" w:rsidRPr="008E2B66">
        <w:rPr>
          <w:rFonts w:ascii="Garamond" w:hAnsi="Garamond" w:cs="Arial"/>
          <w:sz w:val="26"/>
          <w:szCs w:val="26"/>
          <w:u w:color="000000"/>
        </w:rPr>
        <w:t>confermato</w:t>
      </w:r>
      <w:r w:rsidR="00A12645" w:rsidRPr="008E2B66">
        <w:rPr>
          <w:rFonts w:ascii="Garamond" w:hAnsi="Garamond" w:cs="Arial"/>
          <w:sz w:val="26"/>
          <w:szCs w:val="26"/>
          <w:u w:color="000000"/>
        </w:rPr>
        <w:t>, a seguito di monitoraggio,</w:t>
      </w:r>
      <w:r w:rsidR="001F049C" w:rsidRPr="008E2B66">
        <w:rPr>
          <w:rFonts w:ascii="Garamond" w:hAnsi="Garamond" w:cs="Arial"/>
          <w:sz w:val="26"/>
          <w:szCs w:val="26"/>
          <w:u w:color="000000"/>
        </w:rPr>
        <w:t xml:space="preserve"> lo stato di attuazione riportato nel precedente PIAO.</w:t>
      </w:r>
    </w:p>
    <w:p w14:paraId="2C6CCE47" w14:textId="77777777" w:rsidR="000926E6" w:rsidRPr="008E2B66" w:rsidRDefault="000926E6" w:rsidP="00B11810">
      <w:pPr>
        <w:pStyle w:val="Paragrafoelenco"/>
        <w:autoSpaceDE w:val="0"/>
        <w:autoSpaceDN w:val="0"/>
        <w:adjustRightInd w:val="0"/>
        <w:spacing w:line="360" w:lineRule="auto"/>
        <w:ind w:left="0"/>
        <w:jc w:val="both"/>
        <w:rPr>
          <w:rFonts w:ascii="Garamond" w:eastAsia="Arial Unicode MS" w:hAnsi="Garamond" w:cstheme="minorHAnsi"/>
          <w:sz w:val="26"/>
          <w:szCs w:val="26"/>
          <w:u w:color="000000"/>
          <w:bdr w:val="nil"/>
          <w:lang w:eastAsia="it-IT"/>
        </w:rPr>
      </w:pPr>
    </w:p>
    <w:p w14:paraId="1F3318F8" w14:textId="0C6923AA" w:rsidR="00DD2458" w:rsidRPr="008E2B66" w:rsidRDefault="00376B2D" w:rsidP="00E55448">
      <w:pPr>
        <w:spacing w:after="80" w:line="276" w:lineRule="auto"/>
        <w:jc w:val="both"/>
        <w:rPr>
          <w:rFonts w:ascii="Garamond" w:hAnsi="Garamond" w:cs="Arial"/>
          <w:sz w:val="26"/>
          <w:szCs w:val="26"/>
          <w:u w:color="000000"/>
        </w:rPr>
      </w:pPr>
      <w:r w:rsidRPr="00787A89">
        <w:rPr>
          <w:rFonts w:ascii="Garamond" w:hAnsi="Garamond" w:cs="Arial"/>
          <w:b/>
          <w:bCs/>
          <w:sz w:val="26"/>
          <w:szCs w:val="26"/>
          <w:u w:color="000000"/>
        </w:rPr>
        <w:t>Autorizzazione</w:t>
      </w:r>
      <w:r w:rsidR="00DD2458" w:rsidRPr="00787A89">
        <w:rPr>
          <w:rFonts w:ascii="Garamond" w:hAnsi="Garamond" w:cs="Arial"/>
          <w:b/>
          <w:bCs/>
          <w:sz w:val="26"/>
          <w:szCs w:val="26"/>
          <w:u w:color="000000"/>
        </w:rPr>
        <w:t xml:space="preserve"> </w:t>
      </w:r>
      <w:r w:rsidR="008917F1" w:rsidRPr="00787A89">
        <w:rPr>
          <w:rFonts w:ascii="Garamond" w:hAnsi="Garamond" w:cs="Arial"/>
          <w:b/>
          <w:bCs/>
          <w:sz w:val="26"/>
          <w:szCs w:val="26"/>
          <w:u w:color="000000"/>
        </w:rPr>
        <w:t>i</w:t>
      </w:r>
      <w:r w:rsidR="00DD2458" w:rsidRPr="00787A89">
        <w:rPr>
          <w:rFonts w:ascii="Garamond" w:hAnsi="Garamond" w:cs="Arial"/>
          <w:b/>
          <w:bCs/>
          <w:sz w:val="26"/>
          <w:szCs w:val="26"/>
          <w:u w:color="000000"/>
        </w:rPr>
        <w:t>ncarichi extra</w:t>
      </w:r>
      <w:r w:rsidR="00AB34B2">
        <w:rPr>
          <w:rFonts w:ascii="Garamond" w:hAnsi="Garamond" w:cs="Arial"/>
          <w:b/>
          <w:bCs/>
          <w:sz w:val="26"/>
          <w:szCs w:val="26"/>
          <w:u w:color="000000"/>
        </w:rPr>
        <w:t xml:space="preserve"> - </w:t>
      </w:r>
      <w:r w:rsidR="00E16174" w:rsidRPr="00787A89">
        <w:rPr>
          <w:rFonts w:ascii="Garamond" w:hAnsi="Garamond" w:cs="Arial"/>
          <w:b/>
          <w:bCs/>
          <w:sz w:val="26"/>
          <w:szCs w:val="26"/>
          <w:u w:color="000000"/>
        </w:rPr>
        <w:t>i</w:t>
      </w:r>
      <w:r w:rsidR="00DD2458" w:rsidRPr="00787A89">
        <w:rPr>
          <w:rFonts w:ascii="Garamond" w:hAnsi="Garamond" w:cs="Arial"/>
          <w:b/>
          <w:bCs/>
          <w:sz w:val="26"/>
          <w:szCs w:val="26"/>
          <w:u w:color="000000"/>
        </w:rPr>
        <w:t>stituzionali</w:t>
      </w:r>
      <w:r w:rsidR="00352748" w:rsidRPr="00787A89">
        <w:rPr>
          <w:rFonts w:ascii="Garamond" w:hAnsi="Garamond" w:cs="Arial"/>
          <w:b/>
          <w:bCs/>
          <w:sz w:val="26"/>
          <w:szCs w:val="26"/>
          <w:u w:color="000000"/>
        </w:rPr>
        <w:t xml:space="preserve"> </w:t>
      </w:r>
    </w:p>
    <w:p w14:paraId="33ED2BB7" w14:textId="433C56DD" w:rsidR="00FF3DB8" w:rsidRPr="008E2B66" w:rsidRDefault="00AB2967" w:rsidP="00E55448">
      <w:pPr>
        <w:spacing w:after="80" w:line="276" w:lineRule="auto"/>
        <w:jc w:val="both"/>
        <w:rPr>
          <w:rFonts w:ascii="Garamond" w:hAnsi="Garamond" w:cs="Arial"/>
          <w:sz w:val="26"/>
          <w:szCs w:val="26"/>
          <w:u w:color="000000"/>
        </w:rPr>
      </w:pPr>
      <w:bookmarkStart w:id="7" w:name="_Hlk181692288"/>
      <w:r w:rsidRPr="008E2B66">
        <w:rPr>
          <w:rFonts w:ascii="Garamond" w:hAnsi="Garamond" w:cs="Arial"/>
          <w:sz w:val="26"/>
          <w:szCs w:val="26"/>
          <w:u w:color="000000"/>
        </w:rPr>
        <w:t xml:space="preserve">La ratio della normativa relativa all’autorizzazione a poter svolgere, da parte dei dipendenti pubblici, attività extra-istituzionali si rinviene da un lato nella necessità di ottemperare al </w:t>
      </w:r>
      <w:r w:rsidR="00B945B2" w:rsidRPr="008E2B66">
        <w:rPr>
          <w:rFonts w:ascii="Garamond" w:hAnsi="Garamond" w:cs="Arial"/>
          <w:sz w:val="26"/>
          <w:szCs w:val="26"/>
          <w:u w:color="000000"/>
        </w:rPr>
        <w:t>disposto costituzionale</w:t>
      </w:r>
      <w:r w:rsidR="00346800" w:rsidRPr="008E2B66">
        <w:rPr>
          <w:rFonts w:ascii="Garamond" w:hAnsi="Garamond" w:cs="Arial"/>
          <w:sz w:val="26"/>
          <w:szCs w:val="26"/>
          <w:u w:color="000000"/>
        </w:rPr>
        <w:t xml:space="preserve"> di esclusività del lavoro pubblico di </w:t>
      </w:r>
      <w:r w:rsidR="00346800" w:rsidRPr="00787A89">
        <w:rPr>
          <w:rFonts w:ascii="Garamond" w:hAnsi="Garamond" w:cs="Arial"/>
          <w:sz w:val="26"/>
          <w:szCs w:val="26"/>
          <w:u w:color="000000"/>
        </w:rPr>
        <w:t>cui all’art</w:t>
      </w:r>
      <w:r w:rsidRPr="00787A89">
        <w:rPr>
          <w:rFonts w:ascii="Garamond" w:hAnsi="Garamond" w:cs="Arial"/>
          <w:sz w:val="26"/>
          <w:szCs w:val="26"/>
          <w:u w:color="000000"/>
        </w:rPr>
        <w:t>. 98</w:t>
      </w:r>
      <w:r w:rsidR="007A4A67" w:rsidRPr="00787A89">
        <w:rPr>
          <w:rFonts w:ascii="Garamond" w:hAnsi="Garamond" w:cs="Arial"/>
          <w:b/>
          <w:bCs/>
          <w:sz w:val="26"/>
          <w:szCs w:val="26"/>
          <w:u w:color="000000"/>
        </w:rPr>
        <w:t xml:space="preserve"> </w:t>
      </w:r>
      <w:r w:rsidR="00191E56" w:rsidRPr="00191E56">
        <w:rPr>
          <w:rFonts w:ascii="Garamond" w:hAnsi="Garamond" w:cs="Arial"/>
          <w:sz w:val="26"/>
          <w:szCs w:val="26"/>
          <w:u w:color="000000"/>
        </w:rPr>
        <w:t>Cost.,</w:t>
      </w:r>
      <w:r w:rsidRPr="008E2B66">
        <w:rPr>
          <w:rFonts w:ascii="Garamond" w:hAnsi="Garamond" w:cs="Arial"/>
          <w:sz w:val="26"/>
          <w:szCs w:val="26"/>
          <w:u w:color="000000"/>
        </w:rPr>
        <w:t xml:space="preserve"> dall’altro nella connessa esigenza di evitare situazioni di conflitto di interesse. </w:t>
      </w:r>
    </w:p>
    <w:p w14:paraId="7739ED9A" w14:textId="77777777" w:rsidR="007A4A67" w:rsidRDefault="00AD7E02" w:rsidP="00E55448">
      <w:pPr>
        <w:spacing w:after="80" w:line="276" w:lineRule="auto"/>
        <w:jc w:val="both"/>
        <w:rPr>
          <w:rFonts w:ascii="Garamond" w:hAnsi="Garamond" w:cs="Arial"/>
          <w:sz w:val="26"/>
          <w:szCs w:val="26"/>
          <w:u w:color="000000"/>
        </w:rPr>
      </w:pPr>
      <w:r w:rsidRPr="008E2B66">
        <w:rPr>
          <w:rFonts w:ascii="Garamond" w:hAnsi="Garamond" w:cs="Arial"/>
          <w:sz w:val="26"/>
          <w:szCs w:val="26"/>
          <w:u w:color="000000"/>
        </w:rPr>
        <w:t>Il CREA</w:t>
      </w:r>
      <w:r w:rsidR="003D680A" w:rsidRPr="008E2B66">
        <w:rPr>
          <w:rFonts w:ascii="Garamond" w:hAnsi="Garamond" w:cs="Arial"/>
          <w:sz w:val="26"/>
          <w:szCs w:val="26"/>
          <w:u w:color="000000"/>
        </w:rPr>
        <w:t xml:space="preserve">, </w:t>
      </w:r>
      <w:r w:rsidR="00B3268D" w:rsidRPr="008E2B66">
        <w:rPr>
          <w:rFonts w:ascii="Garamond" w:hAnsi="Garamond" w:cs="Arial"/>
          <w:sz w:val="26"/>
          <w:szCs w:val="26"/>
          <w:u w:color="000000"/>
        </w:rPr>
        <w:t>con delibera del Cd</w:t>
      </w:r>
      <w:r w:rsidR="007A4A67">
        <w:rPr>
          <w:rFonts w:ascii="Garamond" w:hAnsi="Garamond" w:cs="Arial"/>
          <w:sz w:val="26"/>
          <w:szCs w:val="26"/>
          <w:u w:color="000000"/>
        </w:rPr>
        <w:t>a</w:t>
      </w:r>
      <w:r w:rsidR="00B3268D" w:rsidRPr="008E2B66">
        <w:rPr>
          <w:rFonts w:ascii="Garamond" w:hAnsi="Garamond" w:cs="Arial"/>
          <w:sz w:val="26"/>
          <w:szCs w:val="26"/>
          <w:u w:color="000000"/>
        </w:rPr>
        <w:t xml:space="preserve"> n. 68 del 14</w:t>
      </w:r>
      <w:r w:rsidR="007A4A67">
        <w:rPr>
          <w:rFonts w:ascii="Garamond" w:hAnsi="Garamond" w:cs="Arial"/>
          <w:sz w:val="26"/>
          <w:szCs w:val="26"/>
          <w:u w:color="000000"/>
        </w:rPr>
        <w:t xml:space="preserve"> dicembre </w:t>
      </w:r>
      <w:r w:rsidR="00B3268D" w:rsidRPr="008E2B66">
        <w:rPr>
          <w:rFonts w:ascii="Garamond" w:hAnsi="Garamond" w:cs="Arial"/>
          <w:sz w:val="26"/>
          <w:szCs w:val="26"/>
          <w:u w:color="000000"/>
        </w:rPr>
        <w:t>2017</w:t>
      </w:r>
      <w:r w:rsidR="00AB2967" w:rsidRPr="008E2B66">
        <w:rPr>
          <w:rFonts w:ascii="Garamond" w:hAnsi="Garamond" w:cs="Arial"/>
          <w:sz w:val="26"/>
          <w:szCs w:val="26"/>
          <w:u w:color="000000"/>
        </w:rPr>
        <w:t xml:space="preserve">, ha </w:t>
      </w:r>
      <w:r w:rsidR="00346800" w:rsidRPr="008E2B66">
        <w:rPr>
          <w:rFonts w:ascii="Garamond" w:hAnsi="Garamond" w:cs="Arial"/>
          <w:sz w:val="26"/>
          <w:szCs w:val="26"/>
          <w:u w:color="000000"/>
        </w:rPr>
        <w:t xml:space="preserve">disciplinato la materia </w:t>
      </w:r>
      <w:r w:rsidR="00AB2967" w:rsidRPr="008E2B66">
        <w:rPr>
          <w:rFonts w:ascii="Garamond" w:hAnsi="Garamond" w:cs="Arial"/>
          <w:sz w:val="26"/>
          <w:szCs w:val="26"/>
          <w:u w:color="000000"/>
        </w:rPr>
        <w:t>adotta</w:t>
      </w:r>
      <w:r w:rsidR="00346800" w:rsidRPr="008E2B66">
        <w:rPr>
          <w:rFonts w:ascii="Garamond" w:hAnsi="Garamond" w:cs="Arial"/>
          <w:sz w:val="26"/>
          <w:szCs w:val="26"/>
          <w:u w:color="000000"/>
        </w:rPr>
        <w:t>ndo</w:t>
      </w:r>
      <w:r w:rsidR="00AB2967" w:rsidRPr="008E2B66">
        <w:rPr>
          <w:rFonts w:ascii="Garamond" w:hAnsi="Garamond" w:cs="Arial"/>
          <w:sz w:val="26"/>
          <w:szCs w:val="26"/>
          <w:u w:color="000000"/>
        </w:rPr>
        <w:t xml:space="preserve"> il </w:t>
      </w:r>
      <w:r w:rsidR="00AB2967" w:rsidRPr="007A4A67">
        <w:rPr>
          <w:rFonts w:ascii="Garamond" w:hAnsi="Garamond" w:cs="Arial"/>
          <w:i/>
          <w:iCs/>
          <w:sz w:val="26"/>
          <w:szCs w:val="26"/>
          <w:u w:color="000000"/>
        </w:rPr>
        <w:t>Regolamento recante la disciplina delle incompatibilità, di cumulo di impieghi e di incarichi al personale dipendente a tempo indeterminato del CREA e del procedimento per il rilascio delle autorizzazioni allo svolgimento di incarichi extraistituzionali</w:t>
      </w:r>
      <w:r w:rsidR="007A4A67">
        <w:rPr>
          <w:rFonts w:ascii="Garamond" w:hAnsi="Garamond" w:cs="Arial"/>
          <w:sz w:val="26"/>
          <w:szCs w:val="26"/>
          <w:u w:color="000000"/>
        </w:rPr>
        <w:t>.</w:t>
      </w:r>
      <w:r w:rsidR="00AB2967" w:rsidRPr="008E2B66">
        <w:rPr>
          <w:rStyle w:val="Rimandonotaapidipagina"/>
          <w:rFonts w:ascii="Garamond" w:hAnsi="Garamond" w:cs="Arial"/>
          <w:sz w:val="26"/>
          <w:szCs w:val="26"/>
          <w:u w:color="000000"/>
        </w:rPr>
        <w:footnoteReference w:id="9"/>
      </w:r>
      <w:r w:rsidR="000A23C3" w:rsidRPr="008E2B66">
        <w:rPr>
          <w:rFonts w:ascii="Garamond" w:hAnsi="Garamond" w:cs="Arial"/>
          <w:sz w:val="26"/>
          <w:szCs w:val="26"/>
          <w:u w:color="000000"/>
        </w:rPr>
        <w:t>.</w:t>
      </w:r>
      <w:r w:rsidR="00346800" w:rsidRPr="008E2B66">
        <w:rPr>
          <w:rFonts w:ascii="Garamond" w:hAnsi="Garamond" w:cs="Arial"/>
          <w:sz w:val="26"/>
          <w:szCs w:val="26"/>
          <w:u w:color="000000"/>
        </w:rPr>
        <w:t xml:space="preserve"> </w:t>
      </w:r>
    </w:p>
    <w:p w14:paraId="20C39708" w14:textId="5FBDC397" w:rsidR="00DC7642" w:rsidRPr="008E2B66" w:rsidRDefault="00B945B2" w:rsidP="00E55448">
      <w:pPr>
        <w:spacing w:after="80" w:line="276" w:lineRule="auto"/>
        <w:jc w:val="both"/>
        <w:rPr>
          <w:rFonts w:ascii="Garamond" w:hAnsi="Garamond" w:cs="Arial"/>
          <w:sz w:val="26"/>
          <w:szCs w:val="26"/>
          <w:u w:color="000000"/>
        </w:rPr>
      </w:pPr>
      <w:r w:rsidRPr="008E2B66">
        <w:rPr>
          <w:rFonts w:ascii="Garamond" w:hAnsi="Garamond" w:cs="Arial"/>
          <w:sz w:val="26"/>
          <w:szCs w:val="26"/>
          <w:u w:color="000000"/>
        </w:rPr>
        <w:t>Al fine</w:t>
      </w:r>
      <w:r w:rsidR="00346800" w:rsidRPr="008E2B66">
        <w:rPr>
          <w:rFonts w:ascii="Garamond" w:hAnsi="Garamond" w:cs="Arial"/>
          <w:sz w:val="26"/>
          <w:szCs w:val="26"/>
          <w:u w:color="000000"/>
        </w:rPr>
        <w:t xml:space="preserve"> di verificare lo stato di attuazione dell</w:t>
      </w:r>
      <w:r w:rsidR="00AE3EA9" w:rsidRPr="008E2B66">
        <w:rPr>
          <w:rFonts w:ascii="Garamond" w:hAnsi="Garamond" w:cs="Arial"/>
          <w:sz w:val="26"/>
          <w:szCs w:val="26"/>
          <w:u w:color="000000"/>
        </w:rPr>
        <w:t>a misura,</w:t>
      </w:r>
      <w:r w:rsidR="00346800" w:rsidRPr="008E2B66">
        <w:rPr>
          <w:rFonts w:ascii="Garamond" w:hAnsi="Garamond" w:cs="Arial"/>
          <w:sz w:val="26"/>
          <w:szCs w:val="26"/>
          <w:u w:color="000000"/>
        </w:rPr>
        <w:t xml:space="preserve"> nel 2024 si è provveduto</w:t>
      </w:r>
      <w:r w:rsidR="00AE3EA9" w:rsidRPr="008E2B66">
        <w:rPr>
          <w:rFonts w:ascii="Garamond" w:hAnsi="Garamond" w:cs="Arial"/>
          <w:sz w:val="26"/>
          <w:szCs w:val="26"/>
          <w:u w:color="000000"/>
        </w:rPr>
        <w:t xml:space="preserve"> anche</w:t>
      </w:r>
      <w:r w:rsidR="00346800" w:rsidRPr="008E2B66">
        <w:rPr>
          <w:rFonts w:ascii="Garamond" w:hAnsi="Garamond" w:cs="Arial"/>
          <w:sz w:val="26"/>
          <w:szCs w:val="26"/>
          <w:u w:color="000000"/>
        </w:rPr>
        <w:t xml:space="preserve"> a richiedere alla Direzione Generale e ai Centri </w:t>
      </w:r>
      <w:r w:rsidR="007A4A67">
        <w:rPr>
          <w:rFonts w:ascii="Garamond" w:hAnsi="Garamond" w:cs="Arial"/>
          <w:sz w:val="26"/>
          <w:szCs w:val="26"/>
          <w:u w:color="000000"/>
        </w:rPr>
        <w:t>di ricerca, il dato relativo a</w:t>
      </w:r>
      <w:r w:rsidR="00346800" w:rsidRPr="008E2B66">
        <w:rPr>
          <w:rFonts w:ascii="Garamond" w:hAnsi="Garamond" w:cs="Arial"/>
          <w:sz w:val="26"/>
          <w:szCs w:val="26"/>
          <w:u w:color="000000"/>
        </w:rPr>
        <w:t xml:space="preserve">l numero degli incarichi </w:t>
      </w:r>
      <w:r w:rsidR="00346800" w:rsidRPr="008E2B66">
        <w:rPr>
          <w:rFonts w:ascii="Garamond" w:hAnsi="Garamond" w:cs="Arial"/>
          <w:sz w:val="26"/>
          <w:szCs w:val="26"/>
          <w:u w:color="000000"/>
        </w:rPr>
        <w:lastRenderedPageBreak/>
        <w:t xml:space="preserve">extraistituzionali autorizzati e ai Dirigenti </w:t>
      </w:r>
      <w:r w:rsidR="007A4A67">
        <w:rPr>
          <w:rFonts w:ascii="Garamond" w:hAnsi="Garamond" w:cs="Arial"/>
          <w:sz w:val="26"/>
          <w:szCs w:val="26"/>
          <w:u w:color="000000"/>
        </w:rPr>
        <w:t>il dato relativo al</w:t>
      </w:r>
      <w:r w:rsidR="00346800" w:rsidRPr="008E2B66">
        <w:rPr>
          <w:rFonts w:ascii="Garamond" w:hAnsi="Garamond" w:cs="Arial"/>
          <w:sz w:val="26"/>
          <w:szCs w:val="26"/>
          <w:u w:color="000000"/>
        </w:rPr>
        <w:t xml:space="preserve"> numero delle richieste di autorizzazione pervenute.</w:t>
      </w:r>
      <w:bookmarkEnd w:id="7"/>
    </w:p>
    <w:p w14:paraId="661D080D" w14:textId="32FC8798" w:rsidR="00C81760" w:rsidRPr="008E2B66" w:rsidRDefault="006D431C" w:rsidP="00E55448">
      <w:pPr>
        <w:spacing w:after="80" w:line="276" w:lineRule="auto"/>
        <w:jc w:val="both"/>
        <w:rPr>
          <w:rFonts w:ascii="Garamond" w:hAnsi="Garamond" w:cs="Arial"/>
          <w:sz w:val="26"/>
          <w:szCs w:val="26"/>
          <w:u w:color="000000"/>
        </w:rPr>
      </w:pPr>
      <w:r w:rsidRPr="008E2B66">
        <w:rPr>
          <w:rFonts w:ascii="Garamond" w:hAnsi="Garamond" w:cs="Arial"/>
          <w:sz w:val="26"/>
          <w:szCs w:val="26"/>
          <w:u w:color="000000"/>
        </w:rPr>
        <w:t>Premesso quanto sopra</w:t>
      </w:r>
      <w:r w:rsidR="007A4A67">
        <w:rPr>
          <w:rFonts w:ascii="Garamond" w:hAnsi="Garamond" w:cs="Arial"/>
          <w:sz w:val="26"/>
          <w:szCs w:val="26"/>
          <w:u w:color="000000"/>
        </w:rPr>
        <w:t xml:space="preserve"> - </w:t>
      </w:r>
      <w:r w:rsidRPr="008E2B66">
        <w:rPr>
          <w:rFonts w:ascii="Garamond" w:hAnsi="Garamond" w:cs="Arial"/>
          <w:sz w:val="26"/>
          <w:szCs w:val="26"/>
          <w:u w:color="000000"/>
        </w:rPr>
        <w:t>e considerato che l’ANAC</w:t>
      </w:r>
      <w:r w:rsidR="007A4A67">
        <w:rPr>
          <w:rFonts w:ascii="Garamond" w:hAnsi="Garamond" w:cs="Arial"/>
          <w:sz w:val="26"/>
          <w:szCs w:val="26"/>
          <w:u w:color="000000"/>
        </w:rPr>
        <w:t>,</w:t>
      </w:r>
      <w:r w:rsidRPr="008E2B66">
        <w:rPr>
          <w:rFonts w:ascii="Garamond" w:hAnsi="Garamond" w:cs="Arial"/>
          <w:sz w:val="26"/>
          <w:szCs w:val="26"/>
          <w:u w:color="000000"/>
        </w:rPr>
        <w:t xml:space="preserve"> n</w:t>
      </w:r>
      <w:r w:rsidR="002068F0" w:rsidRPr="008E2B66">
        <w:rPr>
          <w:rFonts w:ascii="Garamond" w:hAnsi="Garamond" w:cs="Arial"/>
          <w:sz w:val="26"/>
          <w:szCs w:val="26"/>
          <w:u w:color="000000"/>
        </w:rPr>
        <w:t>el PNA 2022</w:t>
      </w:r>
      <w:r w:rsidR="007A4A67">
        <w:rPr>
          <w:rFonts w:ascii="Garamond" w:hAnsi="Garamond" w:cs="Arial"/>
          <w:sz w:val="26"/>
          <w:szCs w:val="26"/>
          <w:u w:color="000000"/>
        </w:rPr>
        <w:t>,</w:t>
      </w:r>
      <w:r w:rsidR="002068F0" w:rsidRPr="008E2B66">
        <w:rPr>
          <w:rFonts w:ascii="Garamond" w:hAnsi="Garamond"/>
          <w:sz w:val="26"/>
          <w:szCs w:val="26"/>
        </w:rPr>
        <w:t xml:space="preserve"> </w:t>
      </w:r>
      <w:r w:rsidR="007A4A67">
        <w:rPr>
          <w:rFonts w:ascii="Garamond" w:hAnsi="Garamond" w:cs="Arial"/>
          <w:sz w:val="26"/>
          <w:szCs w:val="26"/>
        </w:rPr>
        <w:t>aveva</w:t>
      </w:r>
      <w:r w:rsidRPr="008E2B66">
        <w:rPr>
          <w:rFonts w:ascii="Garamond" w:hAnsi="Garamond" w:cs="Arial"/>
          <w:b/>
          <w:bCs/>
          <w:sz w:val="26"/>
          <w:szCs w:val="26"/>
        </w:rPr>
        <w:t xml:space="preserve"> </w:t>
      </w:r>
      <w:r w:rsidR="00FF3DB8" w:rsidRPr="008E2B66">
        <w:rPr>
          <w:rFonts w:ascii="Garamond" w:hAnsi="Garamond" w:cs="Arial"/>
          <w:sz w:val="26"/>
          <w:szCs w:val="26"/>
          <w:u w:color="000000"/>
        </w:rPr>
        <w:t>afferma</w:t>
      </w:r>
      <w:r w:rsidRPr="008E2B66">
        <w:rPr>
          <w:rFonts w:ascii="Garamond" w:hAnsi="Garamond" w:cs="Arial"/>
          <w:sz w:val="26"/>
          <w:szCs w:val="26"/>
          <w:u w:color="000000"/>
        </w:rPr>
        <w:t>to</w:t>
      </w:r>
      <w:r w:rsidR="00FF3DB8" w:rsidRPr="008E2B66">
        <w:rPr>
          <w:rFonts w:ascii="Garamond" w:hAnsi="Garamond" w:cs="Arial"/>
          <w:sz w:val="26"/>
          <w:szCs w:val="26"/>
          <w:u w:color="000000"/>
        </w:rPr>
        <w:t xml:space="preserve"> </w:t>
      </w:r>
      <w:r w:rsidR="002068F0" w:rsidRPr="008E2B66">
        <w:rPr>
          <w:rFonts w:ascii="Garamond" w:hAnsi="Garamond" w:cs="Arial"/>
          <w:sz w:val="26"/>
          <w:szCs w:val="26"/>
          <w:u w:color="000000"/>
        </w:rPr>
        <w:t xml:space="preserve">che per favorire la creazione di </w:t>
      </w:r>
      <w:r w:rsidR="002068F0" w:rsidRPr="00191E56">
        <w:rPr>
          <w:rFonts w:ascii="Garamond" w:hAnsi="Garamond" w:cs="Arial"/>
          <w:i/>
          <w:iCs/>
          <w:sz w:val="26"/>
          <w:szCs w:val="26"/>
          <w:u w:color="000000"/>
        </w:rPr>
        <w:t>valore pubblico</w:t>
      </w:r>
      <w:r w:rsidR="002068F0" w:rsidRPr="008E2B66">
        <w:rPr>
          <w:rFonts w:ascii="Garamond" w:hAnsi="Garamond" w:cs="Arial"/>
          <w:sz w:val="26"/>
          <w:szCs w:val="26"/>
          <w:u w:color="000000"/>
        </w:rPr>
        <w:t xml:space="preserve">, </w:t>
      </w:r>
      <w:r w:rsidR="00191E56">
        <w:rPr>
          <w:rFonts w:ascii="Garamond" w:hAnsi="Garamond" w:cs="Arial"/>
          <w:sz w:val="26"/>
          <w:szCs w:val="26"/>
          <w:u w:color="000000"/>
        </w:rPr>
        <w:t xml:space="preserve">le amministrazioni </w:t>
      </w:r>
      <w:r w:rsidR="002068F0" w:rsidRPr="008E2B66">
        <w:rPr>
          <w:rFonts w:ascii="Garamond" w:hAnsi="Garamond" w:cs="Arial"/>
          <w:sz w:val="26"/>
          <w:szCs w:val="26"/>
          <w:u w:color="000000"/>
        </w:rPr>
        <w:t>dovrebbe</w:t>
      </w:r>
      <w:r w:rsidR="00191E56">
        <w:rPr>
          <w:rFonts w:ascii="Garamond" w:hAnsi="Garamond" w:cs="Arial"/>
          <w:sz w:val="26"/>
          <w:szCs w:val="26"/>
          <w:u w:color="000000"/>
        </w:rPr>
        <w:t>ro</w:t>
      </w:r>
      <w:r w:rsidR="002068F0" w:rsidRPr="008E2B66">
        <w:rPr>
          <w:rFonts w:ascii="Garamond" w:hAnsi="Garamond" w:cs="Arial"/>
          <w:sz w:val="26"/>
          <w:szCs w:val="26"/>
          <w:u w:color="000000"/>
        </w:rPr>
        <w:t xml:space="preserve"> prevedere obiettivi strategici quali</w:t>
      </w:r>
      <w:r w:rsidR="00B9411F" w:rsidRPr="008E2B66">
        <w:rPr>
          <w:rFonts w:ascii="Garamond" w:hAnsi="Garamond" w:cs="Arial"/>
          <w:sz w:val="26"/>
          <w:szCs w:val="26"/>
          <w:u w:color="000000"/>
        </w:rPr>
        <w:t>,</w:t>
      </w:r>
      <w:r w:rsidR="002068F0" w:rsidRPr="008E2B66">
        <w:rPr>
          <w:rFonts w:ascii="Garamond" w:hAnsi="Garamond" w:cs="Arial"/>
          <w:sz w:val="26"/>
          <w:szCs w:val="26"/>
          <w:u w:color="000000"/>
        </w:rPr>
        <w:t xml:space="preserve"> ad esempio</w:t>
      </w:r>
      <w:r w:rsidR="001F45A7" w:rsidRPr="008E2B66">
        <w:rPr>
          <w:rFonts w:ascii="Garamond" w:hAnsi="Garamond" w:cs="Arial"/>
          <w:sz w:val="26"/>
          <w:szCs w:val="26"/>
          <w:u w:color="000000"/>
        </w:rPr>
        <w:t>,</w:t>
      </w:r>
      <w:r w:rsidR="002068F0" w:rsidRPr="008E2B66">
        <w:rPr>
          <w:rFonts w:ascii="Garamond" w:hAnsi="Garamond" w:cs="Arial"/>
          <w:sz w:val="26"/>
          <w:szCs w:val="26"/>
          <w:u w:color="000000"/>
        </w:rPr>
        <w:t xml:space="preserve"> la</w:t>
      </w:r>
      <w:r w:rsidR="002068F0" w:rsidRPr="008E2B66">
        <w:rPr>
          <w:rFonts w:ascii="Garamond" w:hAnsi="Garamond"/>
          <w:sz w:val="26"/>
          <w:szCs w:val="26"/>
        </w:rPr>
        <w:t xml:space="preserve"> </w:t>
      </w:r>
      <w:r w:rsidR="002068F0" w:rsidRPr="008E2B66">
        <w:rPr>
          <w:rFonts w:ascii="Garamond" w:hAnsi="Garamond" w:cs="Arial"/>
          <w:sz w:val="26"/>
          <w:szCs w:val="26"/>
          <w:u w:color="000000"/>
        </w:rPr>
        <w:t>revisione e il miglioramento della regolamentazione intern</w:t>
      </w:r>
      <w:r w:rsidRPr="008E2B66">
        <w:rPr>
          <w:rFonts w:ascii="Garamond" w:hAnsi="Garamond" w:cs="Arial"/>
          <w:sz w:val="26"/>
          <w:szCs w:val="26"/>
          <w:u w:color="000000"/>
        </w:rPr>
        <w:t>a</w:t>
      </w:r>
      <w:r w:rsidR="007A4A67">
        <w:rPr>
          <w:rFonts w:ascii="Garamond" w:hAnsi="Garamond" w:cs="Arial"/>
          <w:sz w:val="26"/>
          <w:szCs w:val="26"/>
          <w:u w:color="000000"/>
        </w:rPr>
        <w:t xml:space="preserve"> </w:t>
      </w:r>
      <w:r w:rsidR="007A4A67" w:rsidRPr="00027A2B">
        <w:rPr>
          <w:rFonts w:ascii="Garamond" w:hAnsi="Garamond" w:cs="Arial"/>
          <w:sz w:val="26"/>
          <w:szCs w:val="26"/>
          <w:u w:color="000000"/>
        </w:rPr>
        <w:t xml:space="preserve">- </w:t>
      </w:r>
      <w:r w:rsidR="00056114" w:rsidRPr="00027A2B">
        <w:rPr>
          <w:rFonts w:ascii="Garamond" w:hAnsi="Garamond" w:cs="Arial"/>
          <w:sz w:val="26"/>
          <w:szCs w:val="26"/>
          <w:u w:color="000000"/>
        </w:rPr>
        <w:t>nel PIAO 2025</w:t>
      </w:r>
      <w:r w:rsidR="00191E56" w:rsidRPr="00027A2B">
        <w:rPr>
          <w:rFonts w:ascii="Garamond" w:hAnsi="Garamond" w:cs="Arial"/>
          <w:sz w:val="26"/>
          <w:szCs w:val="26"/>
          <w:u w:color="000000"/>
        </w:rPr>
        <w:t>/</w:t>
      </w:r>
      <w:r w:rsidR="00056114" w:rsidRPr="00027A2B">
        <w:rPr>
          <w:rFonts w:ascii="Garamond" w:hAnsi="Garamond" w:cs="Arial"/>
          <w:sz w:val="26"/>
          <w:szCs w:val="26"/>
          <w:u w:color="000000"/>
        </w:rPr>
        <w:t>2027</w:t>
      </w:r>
      <w:r w:rsidR="007617BE" w:rsidRPr="00027A2B">
        <w:rPr>
          <w:rFonts w:ascii="Garamond" w:hAnsi="Garamond" w:cs="Arial"/>
          <w:sz w:val="26"/>
          <w:szCs w:val="26"/>
          <w:u w:color="000000"/>
        </w:rPr>
        <w:t xml:space="preserve">, dopo un confronto con </w:t>
      </w:r>
      <w:r w:rsidR="00191E56" w:rsidRPr="00027A2B">
        <w:rPr>
          <w:rFonts w:ascii="Garamond" w:hAnsi="Garamond" w:cs="Arial"/>
          <w:sz w:val="26"/>
          <w:szCs w:val="26"/>
          <w:u w:color="000000"/>
        </w:rPr>
        <w:t>l’</w:t>
      </w:r>
      <w:r w:rsidR="007617BE" w:rsidRPr="00027A2B">
        <w:rPr>
          <w:rFonts w:ascii="Garamond" w:hAnsi="Garamond" w:cs="Arial"/>
          <w:sz w:val="26"/>
          <w:szCs w:val="26"/>
          <w:u w:color="000000"/>
        </w:rPr>
        <w:t xml:space="preserve">Ufficio </w:t>
      </w:r>
      <w:r w:rsidR="007617BE" w:rsidRPr="00027A2B">
        <w:rPr>
          <w:rFonts w:ascii="Garamond" w:hAnsi="Garamond" w:cs="Arial"/>
          <w:i/>
          <w:iCs/>
          <w:sz w:val="26"/>
          <w:szCs w:val="26"/>
          <w:u w:color="000000"/>
        </w:rPr>
        <w:t>Gestione del personale USC3</w:t>
      </w:r>
      <w:r w:rsidR="007617BE" w:rsidRPr="00027A2B">
        <w:rPr>
          <w:rFonts w:ascii="Garamond" w:hAnsi="Garamond" w:cs="Arial"/>
          <w:sz w:val="26"/>
          <w:szCs w:val="26"/>
          <w:u w:color="000000"/>
        </w:rPr>
        <w:t xml:space="preserve"> sulla opportunità</w:t>
      </w:r>
      <w:r w:rsidR="00F23704" w:rsidRPr="00027A2B">
        <w:rPr>
          <w:rFonts w:ascii="Garamond" w:hAnsi="Garamond" w:cs="Arial"/>
          <w:sz w:val="26"/>
          <w:szCs w:val="26"/>
          <w:u w:color="000000"/>
        </w:rPr>
        <w:t xml:space="preserve"> di un aggiornamento in materia alla luce della normativa intervenuta,</w:t>
      </w:r>
      <w:r w:rsidR="00056114" w:rsidRPr="00027A2B">
        <w:rPr>
          <w:rFonts w:ascii="Garamond" w:hAnsi="Garamond" w:cs="Arial"/>
          <w:sz w:val="26"/>
          <w:szCs w:val="26"/>
          <w:u w:color="000000"/>
        </w:rPr>
        <w:t xml:space="preserve"> </w:t>
      </w:r>
      <w:r w:rsidR="007A4A67" w:rsidRPr="00027A2B">
        <w:rPr>
          <w:rFonts w:ascii="Garamond" w:hAnsi="Garamond" w:cs="Arial"/>
          <w:sz w:val="26"/>
          <w:szCs w:val="26"/>
          <w:u w:color="000000"/>
        </w:rPr>
        <w:t>era</w:t>
      </w:r>
      <w:r w:rsidR="00EA3F43" w:rsidRPr="00027A2B">
        <w:rPr>
          <w:rFonts w:ascii="Garamond" w:hAnsi="Garamond" w:cs="Arial"/>
          <w:sz w:val="26"/>
          <w:szCs w:val="26"/>
          <w:u w:color="000000"/>
        </w:rPr>
        <w:t xml:space="preserve"> stata</w:t>
      </w:r>
      <w:r w:rsidR="00056114" w:rsidRPr="00027A2B">
        <w:rPr>
          <w:rFonts w:ascii="Garamond" w:hAnsi="Garamond" w:cs="Arial"/>
          <w:sz w:val="26"/>
          <w:szCs w:val="26"/>
          <w:u w:color="000000"/>
        </w:rPr>
        <w:t xml:space="preserve"> programmata una revisione della disciplina interna in materia nel 2026</w:t>
      </w:r>
      <w:r w:rsidR="00443B5C" w:rsidRPr="00027A2B">
        <w:rPr>
          <w:rFonts w:ascii="Garamond" w:hAnsi="Garamond" w:cs="Arial"/>
          <w:sz w:val="26"/>
          <w:szCs w:val="26"/>
          <w:u w:color="000000"/>
        </w:rPr>
        <w:t xml:space="preserve"> come di seguito riportato:</w:t>
      </w:r>
    </w:p>
    <w:p w14:paraId="60AA30B8" w14:textId="77777777" w:rsidR="000A23C3" w:rsidRPr="008E2B66" w:rsidRDefault="000A23C3" w:rsidP="00734240">
      <w:pPr>
        <w:spacing w:line="360" w:lineRule="auto"/>
        <w:jc w:val="both"/>
        <w:rPr>
          <w:rFonts w:ascii="Garamond" w:hAnsi="Garamond" w:cs="Arial"/>
          <w:sz w:val="26"/>
          <w:szCs w:val="26"/>
          <w:u w:color="000000"/>
        </w:rPr>
      </w:pPr>
    </w:p>
    <w:tbl>
      <w:tblPr>
        <w:tblStyle w:val="TableNormal1"/>
        <w:tblW w:w="9639"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842"/>
        <w:gridCol w:w="3828"/>
        <w:gridCol w:w="1701"/>
        <w:gridCol w:w="2268"/>
      </w:tblGrid>
      <w:tr w:rsidR="00A51832" w:rsidRPr="008E2B66" w14:paraId="0DE1B3FF" w14:textId="77777777" w:rsidTr="008F2D88">
        <w:trPr>
          <w:trHeight w:val="653"/>
        </w:trPr>
        <w:tc>
          <w:tcPr>
            <w:tcW w:w="1842"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14:paraId="3BAC4AB0" w14:textId="77777777" w:rsidR="00A51832" w:rsidRPr="008E2B66" w:rsidRDefault="00A51832" w:rsidP="00383F66">
            <w:pPr>
              <w:jc w:val="both"/>
              <w:rPr>
                <w:rFonts w:ascii="Garamond" w:hAnsi="Garamond" w:cs="Arial"/>
                <w:b/>
                <w:bCs/>
                <w:sz w:val="26"/>
                <w:szCs w:val="26"/>
                <w:u w:color="000000"/>
              </w:rPr>
            </w:pPr>
            <w:bookmarkStart w:id="8" w:name="_Hlk181978697"/>
            <w:r w:rsidRPr="008E2B66">
              <w:rPr>
                <w:rFonts w:ascii="Garamond" w:hAnsi="Garamond" w:cs="Arial"/>
                <w:b/>
                <w:bCs/>
                <w:sz w:val="26"/>
                <w:szCs w:val="26"/>
                <w:u w:color="000000"/>
              </w:rPr>
              <w:t>Misura di</w:t>
            </w:r>
          </w:p>
          <w:p w14:paraId="5BBA2478" w14:textId="77777777" w:rsidR="00A51832" w:rsidRPr="008E2B66" w:rsidRDefault="00A51832" w:rsidP="00383F66">
            <w:pPr>
              <w:jc w:val="both"/>
              <w:rPr>
                <w:rFonts w:ascii="Garamond" w:hAnsi="Garamond" w:cs="Arial"/>
                <w:b/>
                <w:bCs/>
                <w:sz w:val="26"/>
                <w:szCs w:val="26"/>
                <w:u w:color="000000"/>
              </w:rPr>
            </w:pPr>
            <w:r w:rsidRPr="008E2B66">
              <w:rPr>
                <w:rFonts w:ascii="Garamond" w:hAnsi="Garamond" w:cs="Arial"/>
                <w:b/>
                <w:bCs/>
                <w:sz w:val="26"/>
                <w:szCs w:val="26"/>
                <w:u w:color="000000"/>
              </w:rPr>
              <w:t>Prevenzione</w:t>
            </w:r>
          </w:p>
          <w:p w14:paraId="0F15E3F7" w14:textId="77777777" w:rsidR="00A51832" w:rsidRPr="008E2B66" w:rsidRDefault="00A51832" w:rsidP="00383F66">
            <w:pPr>
              <w:jc w:val="both"/>
              <w:rPr>
                <w:rFonts w:ascii="Garamond" w:hAnsi="Garamond" w:cs="Arial"/>
                <w:sz w:val="26"/>
                <w:szCs w:val="26"/>
                <w:u w:color="000000"/>
              </w:rPr>
            </w:pPr>
            <w:r w:rsidRPr="008E2B66">
              <w:rPr>
                <w:rFonts w:ascii="Garamond" w:hAnsi="Garamond" w:cs="Arial"/>
                <w:b/>
                <w:bCs/>
                <w:sz w:val="26"/>
                <w:szCs w:val="26"/>
                <w:u w:color="000000"/>
              </w:rPr>
              <w:t>Generale</w:t>
            </w:r>
          </w:p>
        </w:tc>
        <w:tc>
          <w:tcPr>
            <w:tcW w:w="3828"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14:paraId="3E1C9602" w14:textId="254269FC" w:rsidR="00A51832" w:rsidRPr="008E2B66" w:rsidRDefault="00A51832" w:rsidP="00A51832">
            <w:pPr>
              <w:jc w:val="both"/>
              <w:rPr>
                <w:rFonts w:ascii="Garamond" w:hAnsi="Garamond" w:cs="Arial"/>
                <w:strike/>
                <w:sz w:val="26"/>
                <w:szCs w:val="26"/>
                <w:u w:color="000000"/>
              </w:rPr>
            </w:pPr>
            <w:r w:rsidRPr="008E2B66">
              <w:rPr>
                <w:rFonts w:ascii="Garamond" w:hAnsi="Garamond" w:cs="Arial"/>
                <w:b/>
                <w:bCs/>
                <w:sz w:val="26"/>
                <w:szCs w:val="26"/>
                <w:u w:color="000000"/>
              </w:rPr>
              <w:t xml:space="preserve">Modalità di attuazione </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tcPr>
          <w:p w14:paraId="69B3A3F7" w14:textId="13A15BEE" w:rsidR="00A51832" w:rsidRPr="008E2B66" w:rsidRDefault="00A51832" w:rsidP="00383F66">
            <w:pPr>
              <w:jc w:val="both"/>
              <w:rPr>
                <w:rFonts w:ascii="Garamond" w:hAnsi="Garamond" w:cs="Arial"/>
                <w:b/>
                <w:bCs/>
                <w:sz w:val="26"/>
                <w:szCs w:val="26"/>
                <w:u w:color="000000"/>
              </w:rPr>
            </w:pPr>
            <w:r w:rsidRPr="008E2B66">
              <w:rPr>
                <w:rFonts w:ascii="Garamond" w:hAnsi="Garamond" w:cs="Arial"/>
                <w:b/>
                <w:bCs/>
                <w:sz w:val="26"/>
                <w:szCs w:val="26"/>
                <w:u w:color="000000"/>
              </w:rPr>
              <w:t xml:space="preserve">Responsabile per </w:t>
            </w:r>
          </w:p>
          <w:p w14:paraId="2BA62162" w14:textId="77777777" w:rsidR="00A51832" w:rsidRPr="008E2B66" w:rsidRDefault="00A51832" w:rsidP="00383F66">
            <w:pPr>
              <w:jc w:val="both"/>
              <w:rPr>
                <w:rFonts w:ascii="Garamond" w:hAnsi="Garamond" w:cs="Arial"/>
                <w:b/>
                <w:bCs/>
                <w:sz w:val="26"/>
                <w:szCs w:val="26"/>
                <w:u w:color="000000"/>
              </w:rPr>
            </w:pPr>
            <w:r w:rsidRPr="008E2B66">
              <w:rPr>
                <w:rFonts w:ascii="Garamond" w:hAnsi="Garamond" w:cs="Arial"/>
                <w:b/>
                <w:bCs/>
                <w:sz w:val="26"/>
                <w:szCs w:val="26"/>
                <w:u w:color="000000"/>
              </w:rPr>
              <w:t>l’adozione</w:t>
            </w:r>
          </w:p>
          <w:p w14:paraId="1F5B8099" w14:textId="77777777" w:rsidR="00A51832" w:rsidRPr="008E2B66" w:rsidRDefault="00A51832" w:rsidP="00383F66">
            <w:pPr>
              <w:jc w:val="both"/>
              <w:rPr>
                <w:rFonts w:ascii="Garamond" w:hAnsi="Garamond" w:cs="Arial"/>
                <w:sz w:val="26"/>
                <w:szCs w:val="26"/>
                <w:u w:color="000000"/>
              </w:rPr>
            </w:pPr>
            <w:r w:rsidRPr="008E2B66">
              <w:rPr>
                <w:rFonts w:ascii="Garamond" w:hAnsi="Garamond" w:cs="Arial"/>
                <w:b/>
                <w:bCs/>
                <w:sz w:val="26"/>
                <w:szCs w:val="26"/>
                <w:u w:color="000000"/>
              </w:rPr>
              <w:t>della misura</w:t>
            </w:r>
          </w:p>
        </w:tc>
        <w:tc>
          <w:tcPr>
            <w:tcW w:w="2268" w:type="dxa"/>
            <w:tcBorders>
              <w:top w:val="single" w:sz="4" w:space="0" w:color="000000"/>
              <w:left w:val="single" w:sz="4" w:space="0" w:color="000000"/>
              <w:bottom w:val="single" w:sz="4" w:space="0" w:color="000000"/>
              <w:right w:val="single" w:sz="4" w:space="0" w:color="000000"/>
            </w:tcBorders>
            <w:shd w:val="clear" w:color="auto" w:fill="D9E2F3"/>
            <w:tcMar>
              <w:top w:w="80" w:type="dxa"/>
              <w:left w:w="80" w:type="dxa"/>
              <w:bottom w:w="80" w:type="dxa"/>
              <w:right w:w="80" w:type="dxa"/>
            </w:tcMar>
            <w:vAlign w:val="center"/>
          </w:tcPr>
          <w:p w14:paraId="70CD451F" w14:textId="7BB5424C" w:rsidR="00A51832" w:rsidRPr="008E2B66" w:rsidRDefault="00A51832" w:rsidP="00383F66">
            <w:pPr>
              <w:jc w:val="both"/>
              <w:rPr>
                <w:rFonts w:ascii="Garamond" w:hAnsi="Garamond" w:cs="Arial"/>
                <w:sz w:val="26"/>
                <w:szCs w:val="26"/>
                <w:u w:color="000000"/>
              </w:rPr>
            </w:pPr>
            <w:r w:rsidRPr="008E2B66">
              <w:rPr>
                <w:rFonts w:ascii="Garamond" w:hAnsi="Garamond" w:cs="Arial"/>
                <w:b/>
                <w:bCs/>
                <w:sz w:val="26"/>
                <w:szCs w:val="26"/>
                <w:u w:color="000000"/>
              </w:rPr>
              <w:t xml:space="preserve">Programmazione </w:t>
            </w:r>
          </w:p>
        </w:tc>
      </w:tr>
      <w:tr w:rsidR="00A51832" w:rsidRPr="008E2B66" w14:paraId="52143CD4" w14:textId="77777777" w:rsidTr="008F2D88">
        <w:trPr>
          <w:trHeight w:val="1465"/>
        </w:trPr>
        <w:tc>
          <w:tcPr>
            <w:tcW w:w="184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6C2E952" w14:textId="315ED401" w:rsidR="00A51832" w:rsidRPr="00027A2B" w:rsidRDefault="00A51832" w:rsidP="0075733B">
            <w:pPr>
              <w:spacing w:line="360" w:lineRule="auto"/>
              <w:jc w:val="center"/>
              <w:rPr>
                <w:rFonts w:ascii="Garamond" w:hAnsi="Garamond" w:cs="Arial"/>
                <w:b/>
                <w:bCs/>
                <w:sz w:val="24"/>
                <w:szCs w:val="24"/>
                <w:u w:color="000000"/>
              </w:rPr>
            </w:pPr>
            <w:r w:rsidRPr="00027A2B">
              <w:rPr>
                <w:rFonts w:ascii="Garamond" w:hAnsi="Garamond" w:cs="Arial"/>
                <w:b/>
                <w:bCs/>
                <w:sz w:val="24"/>
                <w:szCs w:val="24"/>
                <w:u w:color="000000"/>
              </w:rPr>
              <w:t>Autorizzazione Incarichi extra</w:t>
            </w:r>
            <w:r w:rsidR="007A4A67" w:rsidRPr="00027A2B">
              <w:rPr>
                <w:rFonts w:ascii="Garamond" w:hAnsi="Garamond" w:cs="Arial"/>
                <w:b/>
                <w:bCs/>
                <w:sz w:val="24"/>
                <w:szCs w:val="24"/>
                <w:u w:color="000000"/>
              </w:rPr>
              <w:t>-</w:t>
            </w:r>
            <w:r w:rsidRPr="00027A2B">
              <w:rPr>
                <w:rFonts w:ascii="Garamond" w:hAnsi="Garamond" w:cs="Arial"/>
                <w:b/>
                <w:bCs/>
                <w:sz w:val="24"/>
                <w:szCs w:val="24"/>
                <w:u w:color="000000"/>
              </w:rPr>
              <w:t>istituzionali</w:t>
            </w:r>
          </w:p>
          <w:p w14:paraId="1E7DC4A9" w14:textId="77777777" w:rsidR="00A51832" w:rsidRPr="00027A2B" w:rsidRDefault="00A51832" w:rsidP="0075733B">
            <w:pPr>
              <w:pStyle w:val="Paragrafoelenco"/>
              <w:autoSpaceDE w:val="0"/>
              <w:autoSpaceDN w:val="0"/>
              <w:adjustRightInd w:val="0"/>
              <w:spacing w:line="360" w:lineRule="auto"/>
              <w:ind w:left="0"/>
              <w:jc w:val="center"/>
              <w:rPr>
                <w:rFonts w:ascii="Garamond" w:hAnsi="Garamond" w:cs="Arial"/>
                <w:b/>
                <w:bCs/>
                <w:sz w:val="24"/>
                <w:szCs w:val="24"/>
                <w:u w:color="000000"/>
              </w:rPr>
            </w:pPr>
          </w:p>
        </w:tc>
        <w:tc>
          <w:tcPr>
            <w:tcW w:w="38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9EE4103" w14:textId="00491DB0" w:rsidR="00A51832" w:rsidRPr="00027A2B" w:rsidRDefault="00A51832" w:rsidP="0075733B">
            <w:pPr>
              <w:autoSpaceDE w:val="0"/>
              <w:autoSpaceDN w:val="0"/>
              <w:adjustRightInd w:val="0"/>
              <w:jc w:val="center"/>
              <w:rPr>
                <w:rFonts w:ascii="Garamond" w:hAnsi="Garamond" w:cs="Arial"/>
                <w:b/>
                <w:bCs/>
                <w:sz w:val="24"/>
                <w:szCs w:val="24"/>
                <w:u w:color="000000"/>
              </w:rPr>
            </w:pPr>
            <w:r w:rsidRPr="00027A2B">
              <w:rPr>
                <w:rFonts w:ascii="Garamond" w:eastAsiaTheme="minorHAnsi" w:hAnsi="Garamond" w:cs="Arial"/>
                <w:sz w:val="24"/>
                <w:szCs w:val="24"/>
              </w:rPr>
              <w:t xml:space="preserve">Aggiornamento del </w:t>
            </w:r>
            <w:r w:rsidRPr="00027A2B">
              <w:rPr>
                <w:rFonts w:ascii="Garamond" w:hAnsi="Garamond" w:cs="Arial"/>
                <w:i/>
                <w:iCs/>
                <w:sz w:val="24"/>
                <w:szCs w:val="24"/>
                <w:u w:color="000000"/>
              </w:rPr>
              <w:t>Regolamento recante la disciplina delle incompatibilità, di cumulo di impieghi e di incarichi al personale dipendente a tempo indeterminato del CREA e del procedimento per il rilascio delle autorizzazioni allo svolgimento di incarichi extraistituzionali</w:t>
            </w:r>
          </w:p>
        </w:tc>
        <w:tc>
          <w:tcPr>
            <w:tcW w:w="170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4410415" w14:textId="1C49F881" w:rsidR="00A51832" w:rsidRPr="00027A2B" w:rsidRDefault="00A51832" w:rsidP="0075733B">
            <w:pPr>
              <w:jc w:val="center"/>
              <w:rPr>
                <w:rFonts w:ascii="Garamond" w:hAnsi="Garamond" w:cs="Arial"/>
                <w:sz w:val="24"/>
                <w:szCs w:val="24"/>
                <w:u w:color="000000"/>
              </w:rPr>
            </w:pPr>
          </w:p>
          <w:p w14:paraId="6D4653FF" w14:textId="77777777" w:rsidR="00A51832" w:rsidRPr="00027A2B" w:rsidRDefault="00A51832" w:rsidP="0075733B">
            <w:pPr>
              <w:jc w:val="center"/>
              <w:rPr>
                <w:rFonts w:ascii="Garamond" w:hAnsi="Garamond" w:cs="Arial"/>
                <w:sz w:val="24"/>
                <w:szCs w:val="24"/>
                <w:u w:color="000000"/>
              </w:rPr>
            </w:pPr>
          </w:p>
          <w:p w14:paraId="6A5040CD" w14:textId="77777777" w:rsidR="008F2D88" w:rsidRPr="00027A2B" w:rsidRDefault="008F2D88" w:rsidP="0075733B">
            <w:pPr>
              <w:jc w:val="center"/>
              <w:rPr>
                <w:rFonts w:ascii="Garamond" w:hAnsi="Garamond" w:cs="Arial"/>
                <w:sz w:val="24"/>
                <w:szCs w:val="24"/>
                <w:u w:color="000000"/>
              </w:rPr>
            </w:pPr>
          </w:p>
          <w:p w14:paraId="16F95879" w14:textId="23EA306B" w:rsidR="00A51832" w:rsidRPr="00027A2B" w:rsidRDefault="00A51832" w:rsidP="0075733B">
            <w:pPr>
              <w:jc w:val="center"/>
              <w:rPr>
                <w:rFonts w:ascii="Garamond" w:hAnsi="Garamond" w:cs="Arial"/>
                <w:b/>
                <w:bCs/>
                <w:sz w:val="24"/>
                <w:szCs w:val="24"/>
                <w:u w:color="000000"/>
              </w:rPr>
            </w:pPr>
            <w:r w:rsidRPr="00027A2B">
              <w:rPr>
                <w:rFonts w:ascii="Garamond" w:hAnsi="Garamond" w:cs="Arial"/>
                <w:b/>
                <w:bCs/>
                <w:sz w:val="24"/>
                <w:szCs w:val="24"/>
                <w:u w:color="000000"/>
              </w:rPr>
              <w:t>UFFICIO USC3</w:t>
            </w:r>
          </w:p>
        </w:tc>
        <w:tc>
          <w:tcPr>
            <w:tcW w:w="226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6C3D6CC" w14:textId="1EFA0666" w:rsidR="00A51832" w:rsidRPr="00027A2B" w:rsidRDefault="00A51832" w:rsidP="0075733B">
            <w:pPr>
              <w:jc w:val="center"/>
              <w:rPr>
                <w:rFonts w:ascii="Garamond" w:hAnsi="Garamond" w:cs="Arial"/>
                <w:b/>
                <w:bCs/>
                <w:sz w:val="24"/>
                <w:szCs w:val="24"/>
                <w:u w:color="000000"/>
              </w:rPr>
            </w:pPr>
            <w:r w:rsidRPr="00027A2B">
              <w:rPr>
                <w:rFonts w:ascii="Garamond" w:hAnsi="Garamond" w:cs="Arial"/>
                <w:b/>
                <w:bCs/>
                <w:sz w:val="24"/>
                <w:szCs w:val="24"/>
                <w:u w:color="000000"/>
              </w:rPr>
              <w:t>202</w:t>
            </w:r>
            <w:r w:rsidR="000D658F" w:rsidRPr="00027A2B">
              <w:rPr>
                <w:rFonts w:ascii="Garamond" w:hAnsi="Garamond" w:cs="Arial"/>
                <w:b/>
                <w:bCs/>
                <w:sz w:val="24"/>
                <w:szCs w:val="24"/>
                <w:u w:color="000000"/>
              </w:rPr>
              <w:t>6</w:t>
            </w:r>
          </w:p>
        </w:tc>
      </w:tr>
      <w:bookmarkEnd w:id="8"/>
    </w:tbl>
    <w:p w14:paraId="48CA1CA2" w14:textId="77777777" w:rsidR="00AE3EA9" w:rsidRPr="008E2B66" w:rsidRDefault="00AE3EA9" w:rsidP="000A19EE">
      <w:pPr>
        <w:spacing w:line="360" w:lineRule="auto"/>
        <w:jc w:val="both"/>
        <w:rPr>
          <w:rFonts w:ascii="Garamond" w:hAnsi="Garamond" w:cs="Arial"/>
          <w:b/>
          <w:bCs/>
          <w:sz w:val="26"/>
          <w:szCs w:val="26"/>
          <w:u w:color="000000"/>
        </w:rPr>
      </w:pPr>
    </w:p>
    <w:p w14:paraId="7C171F39" w14:textId="58BAE8BF" w:rsidR="00DD2458" w:rsidRPr="008E2B66" w:rsidRDefault="00545ADD" w:rsidP="00352748">
      <w:pPr>
        <w:spacing w:line="276" w:lineRule="auto"/>
        <w:jc w:val="both"/>
        <w:rPr>
          <w:rFonts w:ascii="Garamond" w:hAnsi="Garamond" w:cs="Arial"/>
          <w:sz w:val="26"/>
          <w:szCs w:val="26"/>
          <w:u w:color="000000"/>
        </w:rPr>
      </w:pPr>
      <w:r w:rsidRPr="00027A2B">
        <w:rPr>
          <w:rFonts w:ascii="Garamond" w:hAnsi="Garamond" w:cs="Arial"/>
          <w:b/>
          <w:bCs/>
          <w:sz w:val="26"/>
          <w:szCs w:val="26"/>
          <w:u w:color="000000"/>
        </w:rPr>
        <w:t>Attività successiva alla cessazione del rapporto di lavoro (</w:t>
      </w:r>
      <w:r w:rsidRPr="00027A2B">
        <w:rPr>
          <w:rFonts w:ascii="Garamond" w:hAnsi="Garamond" w:cs="Arial"/>
          <w:b/>
          <w:bCs/>
          <w:i/>
          <w:iCs/>
          <w:sz w:val="26"/>
          <w:szCs w:val="26"/>
          <w:u w:color="000000"/>
        </w:rPr>
        <w:t>c.d. pantouflage o revolving doors</w:t>
      </w:r>
      <w:r w:rsidRPr="00027A2B">
        <w:rPr>
          <w:rFonts w:ascii="Garamond" w:hAnsi="Garamond" w:cs="Arial"/>
          <w:b/>
          <w:bCs/>
          <w:sz w:val="26"/>
          <w:szCs w:val="26"/>
          <w:u w:color="000000"/>
        </w:rPr>
        <w:t>)</w:t>
      </w:r>
      <w:r w:rsidR="00352748" w:rsidRPr="008E2B66">
        <w:rPr>
          <w:rFonts w:ascii="Garamond" w:hAnsi="Garamond" w:cs="Arial"/>
          <w:b/>
          <w:bCs/>
          <w:sz w:val="26"/>
          <w:szCs w:val="26"/>
          <w:u w:color="000000"/>
        </w:rPr>
        <w:t xml:space="preserve"> </w:t>
      </w:r>
    </w:p>
    <w:p w14:paraId="3018FD35" w14:textId="5F751022" w:rsidR="00FF3DB8" w:rsidRPr="008E2B66" w:rsidRDefault="00734240" w:rsidP="00352748">
      <w:pPr>
        <w:pStyle w:val="Paragrafoelenco"/>
        <w:autoSpaceDE w:val="0"/>
        <w:autoSpaceDN w:val="0"/>
        <w:adjustRightInd w:val="0"/>
        <w:spacing w:after="80" w:line="276" w:lineRule="auto"/>
        <w:ind w:left="0"/>
        <w:jc w:val="both"/>
        <w:rPr>
          <w:rFonts w:ascii="Garamond" w:hAnsi="Garamond" w:cs="Arial"/>
          <w:sz w:val="26"/>
          <w:szCs w:val="26"/>
          <w:u w:color="000000"/>
        </w:rPr>
      </w:pPr>
      <w:r w:rsidRPr="008E2B66">
        <w:rPr>
          <w:rFonts w:ascii="Garamond" w:eastAsiaTheme="minorHAnsi" w:hAnsi="Garamond" w:cs="Arial"/>
          <w:sz w:val="26"/>
          <w:szCs w:val="26"/>
        </w:rPr>
        <w:t>Per le modalità di attuazione</w:t>
      </w:r>
      <w:r w:rsidR="00A12645" w:rsidRPr="008E2B66">
        <w:rPr>
          <w:rFonts w:ascii="Garamond" w:eastAsiaTheme="minorHAnsi" w:hAnsi="Garamond" w:cs="Arial"/>
          <w:sz w:val="26"/>
          <w:szCs w:val="26"/>
        </w:rPr>
        <w:t xml:space="preserve"> della misura</w:t>
      </w:r>
      <w:r w:rsidRPr="008E2B66">
        <w:rPr>
          <w:rFonts w:ascii="Garamond" w:eastAsiaTheme="minorHAnsi" w:hAnsi="Garamond" w:cs="Arial"/>
          <w:sz w:val="26"/>
          <w:szCs w:val="26"/>
        </w:rPr>
        <w:t xml:space="preserve"> e per i Responsabili si rinvia a pagina 39 e 40</w:t>
      </w:r>
      <w:r w:rsidRPr="008E2B66">
        <w:rPr>
          <w:rFonts w:ascii="Garamond" w:hAnsi="Garamond"/>
          <w:sz w:val="26"/>
          <w:szCs w:val="26"/>
        </w:rPr>
        <w:t xml:space="preserve"> </w:t>
      </w:r>
      <w:r w:rsidRPr="008E2B66">
        <w:rPr>
          <w:rFonts w:ascii="Garamond" w:eastAsiaTheme="minorHAnsi" w:hAnsi="Garamond" w:cs="Arial"/>
          <w:sz w:val="26"/>
          <w:szCs w:val="26"/>
        </w:rPr>
        <w:t xml:space="preserve">del </w:t>
      </w:r>
      <w:hyperlink r:id="rId18" w:history="1">
        <w:r w:rsidR="00841DD6" w:rsidRPr="008E2B66">
          <w:rPr>
            <w:rStyle w:val="Collegamentoipertestuale"/>
            <w:rFonts w:ascii="Garamond" w:eastAsia="Arial Unicode MS" w:hAnsi="Garamond" w:cs="Arial"/>
            <w:sz w:val="26"/>
            <w:szCs w:val="26"/>
            <w:bdr w:val="nil"/>
            <w:lang w:eastAsia="it-IT"/>
          </w:rPr>
          <w:t>PIAO 2024-2026</w:t>
        </w:r>
      </w:hyperlink>
      <w:r w:rsidRPr="008E2B66">
        <w:rPr>
          <w:rFonts w:ascii="Garamond" w:eastAsiaTheme="minorHAnsi" w:hAnsi="Garamond" w:cs="Arial"/>
          <w:sz w:val="26"/>
          <w:szCs w:val="26"/>
        </w:rPr>
        <w:t>.</w:t>
      </w:r>
      <w:r w:rsidRPr="008E2B66">
        <w:rPr>
          <w:rFonts w:ascii="Garamond" w:hAnsi="Garamond" w:cs="Arial"/>
          <w:sz w:val="26"/>
          <w:szCs w:val="26"/>
          <w:u w:color="000000"/>
        </w:rPr>
        <w:t xml:space="preserve"> Anche per il 202</w:t>
      </w:r>
      <w:r w:rsidR="00B30183" w:rsidRPr="008E2B66">
        <w:rPr>
          <w:rFonts w:ascii="Garamond" w:hAnsi="Garamond" w:cs="Arial"/>
          <w:sz w:val="26"/>
          <w:szCs w:val="26"/>
          <w:u w:color="000000"/>
        </w:rPr>
        <w:t>5</w:t>
      </w:r>
      <w:r w:rsidRPr="008E2B66">
        <w:rPr>
          <w:rFonts w:ascii="Garamond" w:hAnsi="Garamond" w:cs="Arial"/>
          <w:sz w:val="26"/>
          <w:szCs w:val="26"/>
          <w:u w:color="000000"/>
        </w:rPr>
        <w:t xml:space="preserve"> è</w:t>
      </w:r>
      <w:r w:rsidR="00471407" w:rsidRPr="008E2B66">
        <w:rPr>
          <w:rFonts w:ascii="Garamond" w:hAnsi="Garamond" w:cs="Arial"/>
          <w:sz w:val="26"/>
          <w:szCs w:val="26"/>
          <w:u w:color="000000"/>
        </w:rPr>
        <w:t xml:space="preserve"> stato</w:t>
      </w:r>
      <w:r w:rsidRPr="008E2B66">
        <w:rPr>
          <w:rFonts w:ascii="Garamond" w:hAnsi="Garamond" w:cs="Arial"/>
          <w:sz w:val="26"/>
          <w:szCs w:val="26"/>
          <w:u w:color="000000"/>
        </w:rPr>
        <w:t xml:space="preserve"> confermato</w:t>
      </w:r>
      <w:r w:rsidR="00A12645" w:rsidRPr="008E2B66">
        <w:rPr>
          <w:rFonts w:ascii="Garamond" w:hAnsi="Garamond" w:cs="Arial"/>
          <w:sz w:val="26"/>
          <w:szCs w:val="26"/>
          <w:u w:color="000000"/>
        </w:rPr>
        <w:t>, a seguito di monitoraggio,</w:t>
      </w:r>
      <w:r w:rsidRPr="008E2B66">
        <w:rPr>
          <w:rFonts w:ascii="Garamond" w:hAnsi="Garamond" w:cs="Arial"/>
          <w:sz w:val="26"/>
          <w:szCs w:val="26"/>
          <w:u w:color="000000"/>
        </w:rPr>
        <w:t xml:space="preserve"> lo stato di attuazione riportato nel precedente PIAO.</w:t>
      </w:r>
    </w:p>
    <w:p w14:paraId="17A76FAD" w14:textId="68F94F7F" w:rsidR="006D1645" w:rsidRPr="008E2B66" w:rsidRDefault="00A92646" w:rsidP="00352748">
      <w:pPr>
        <w:autoSpaceDE w:val="0"/>
        <w:autoSpaceDN w:val="0"/>
        <w:adjustRightInd w:val="0"/>
        <w:spacing w:after="80" w:line="276" w:lineRule="auto"/>
        <w:jc w:val="both"/>
        <w:rPr>
          <w:rFonts w:ascii="Garamond" w:eastAsiaTheme="minorHAnsi" w:hAnsi="Garamond" w:cs="Arial"/>
          <w:sz w:val="26"/>
          <w:szCs w:val="26"/>
        </w:rPr>
      </w:pPr>
      <w:r w:rsidRPr="008E2B66">
        <w:rPr>
          <w:rFonts w:ascii="Garamond" w:eastAsiaTheme="minorHAnsi" w:hAnsi="Garamond" w:cs="Arial"/>
          <w:sz w:val="26"/>
          <w:szCs w:val="26"/>
        </w:rPr>
        <w:t xml:space="preserve">Occorre </w:t>
      </w:r>
      <w:r w:rsidR="00B3268D" w:rsidRPr="008E2B66">
        <w:rPr>
          <w:rFonts w:ascii="Garamond" w:eastAsiaTheme="minorHAnsi" w:hAnsi="Garamond" w:cs="Arial"/>
          <w:sz w:val="26"/>
          <w:szCs w:val="26"/>
        </w:rPr>
        <w:t xml:space="preserve">ricordare </w:t>
      </w:r>
      <w:r w:rsidRPr="008E2B66">
        <w:rPr>
          <w:rFonts w:ascii="Garamond" w:eastAsiaTheme="minorHAnsi" w:hAnsi="Garamond" w:cs="Arial"/>
          <w:sz w:val="26"/>
          <w:szCs w:val="26"/>
        </w:rPr>
        <w:t>che t</w:t>
      </w:r>
      <w:r w:rsidR="008A09D9" w:rsidRPr="008E2B66">
        <w:rPr>
          <w:rFonts w:ascii="Garamond" w:eastAsiaTheme="minorHAnsi" w:hAnsi="Garamond" w:cs="Arial"/>
          <w:sz w:val="26"/>
          <w:szCs w:val="26"/>
        </w:rPr>
        <w:t>ra le misure di prevenzione della corruzione</w:t>
      </w:r>
      <w:r w:rsidRPr="008E2B66">
        <w:rPr>
          <w:rFonts w:ascii="Garamond" w:eastAsiaTheme="minorHAnsi" w:hAnsi="Garamond" w:cs="Arial"/>
          <w:sz w:val="26"/>
          <w:szCs w:val="26"/>
        </w:rPr>
        <w:t xml:space="preserve"> il divieto di </w:t>
      </w:r>
      <w:r w:rsidRPr="008E2B66">
        <w:rPr>
          <w:rFonts w:ascii="Garamond" w:eastAsiaTheme="minorHAnsi" w:hAnsi="Garamond" w:cs="Arial"/>
          <w:i/>
          <w:iCs/>
          <w:sz w:val="26"/>
          <w:szCs w:val="26"/>
        </w:rPr>
        <w:t>pantouflage</w:t>
      </w:r>
      <w:r w:rsidR="008A09D9" w:rsidRPr="008E2B66">
        <w:rPr>
          <w:rFonts w:ascii="Garamond" w:eastAsiaTheme="minorHAnsi" w:hAnsi="Garamond" w:cs="Arial"/>
          <w:sz w:val="26"/>
          <w:szCs w:val="26"/>
        </w:rPr>
        <w:t xml:space="preserve"> </w:t>
      </w:r>
      <w:r w:rsidRPr="008E2B66">
        <w:rPr>
          <w:rFonts w:ascii="Garamond" w:eastAsiaTheme="minorHAnsi" w:hAnsi="Garamond" w:cs="Arial"/>
          <w:sz w:val="26"/>
          <w:szCs w:val="26"/>
        </w:rPr>
        <w:t xml:space="preserve">assume </w:t>
      </w:r>
      <w:r w:rsidR="008A09D9" w:rsidRPr="008E2B66">
        <w:rPr>
          <w:rFonts w:ascii="Garamond" w:eastAsiaTheme="minorHAnsi" w:hAnsi="Garamond" w:cs="Arial"/>
          <w:sz w:val="26"/>
          <w:szCs w:val="26"/>
        </w:rPr>
        <w:t xml:space="preserve">particolare rilievo. </w:t>
      </w:r>
      <w:r w:rsidR="00F23F62" w:rsidRPr="008E2B66">
        <w:rPr>
          <w:rFonts w:ascii="Garamond" w:eastAsiaTheme="minorHAnsi" w:hAnsi="Garamond" w:cs="Arial"/>
          <w:sz w:val="26"/>
          <w:szCs w:val="26"/>
        </w:rPr>
        <w:t>Tale</w:t>
      </w:r>
      <w:r w:rsidR="008A09D9" w:rsidRPr="008E2B66">
        <w:rPr>
          <w:rFonts w:ascii="Garamond" w:eastAsiaTheme="minorHAnsi" w:hAnsi="Garamond" w:cs="Arial"/>
          <w:sz w:val="26"/>
          <w:szCs w:val="26"/>
        </w:rPr>
        <w:t xml:space="preserve"> misura agisce sulla fase successiva alla cessazione del rapporto di lavoro con una pubblica amministrazione</w:t>
      </w:r>
      <w:r w:rsidR="006D1645" w:rsidRPr="008E2B66">
        <w:rPr>
          <w:rFonts w:ascii="Garamond" w:eastAsiaTheme="minorHAnsi" w:hAnsi="Garamond" w:cs="Arial"/>
          <w:sz w:val="26"/>
          <w:szCs w:val="26"/>
        </w:rPr>
        <w:t xml:space="preserve"> e costituisce</w:t>
      </w:r>
      <w:r w:rsidR="008A09D9" w:rsidRPr="008E2B66">
        <w:rPr>
          <w:rFonts w:ascii="Garamond" w:eastAsiaTheme="minorHAnsi" w:hAnsi="Garamond" w:cs="Arial"/>
          <w:sz w:val="26"/>
          <w:szCs w:val="26"/>
        </w:rPr>
        <w:t xml:space="preserve"> un’ipotesi di </w:t>
      </w:r>
      <w:r w:rsidR="0096487D" w:rsidRPr="0096487D">
        <w:rPr>
          <w:rFonts w:ascii="Garamond" w:eastAsiaTheme="minorHAnsi" w:hAnsi="Garamond" w:cs="Arial"/>
          <w:i/>
          <w:iCs/>
          <w:sz w:val="26"/>
          <w:szCs w:val="26"/>
        </w:rPr>
        <w:t>i</w:t>
      </w:r>
      <w:r w:rsidR="008A09D9" w:rsidRPr="0096487D">
        <w:rPr>
          <w:rFonts w:ascii="Garamond" w:eastAsiaTheme="minorHAnsi" w:hAnsi="Garamond" w:cs="Arial"/>
          <w:i/>
          <w:iCs/>
          <w:sz w:val="26"/>
          <w:szCs w:val="26"/>
        </w:rPr>
        <w:t>ncompatibilità</w:t>
      </w:r>
      <w:r w:rsidR="008A09D9" w:rsidRPr="008E2B66">
        <w:rPr>
          <w:rFonts w:ascii="Garamond" w:eastAsiaTheme="minorHAnsi" w:hAnsi="Garamond" w:cs="Arial"/>
          <w:sz w:val="26"/>
          <w:szCs w:val="26"/>
        </w:rPr>
        <w:t xml:space="preserve"> </w:t>
      </w:r>
      <w:r w:rsidR="00495A77" w:rsidRPr="008E2B66">
        <w:rPr>
          <w:rFonts w:ascii="Garamond" w:eastAsiaTheme="minorHAnsi" w:hAnsi="Garamond" w:cs="Arial"/>
          <w:sz w:val="26"/>
          <w:szCs w:val="26"/>
        </w:rPr>
        <w:t>successiva</w:t>
      </w:r>
      <w:r w:rsidR="00EA5E04" w:rsidRPr="008E2B66">
        <w:rPr>
          <w:rFonts w:ascii="Garamond" w:eastAsiaTheme="minorHAnsi" w:hAnsi="Garamond" w:cs="Arial"/>
          <w:sz w:val="26"/>
          <w:szCs w:val="26"/>
        </w:rPr>
        <w:t xml:space="preserve"> </w:t>
      </w:r>
      <w:r w:rsidR="008A09D9" w:rsidRPr="008E2B66">
        <w:rPr>
          <w:rFonts w:ascii="Garamond" w:eastAsiaTheme="minorHAnsi" w:hAnsi="Garamond" w:cs="Arial"/>
          <w:sz w:val="26"/>
          <w:szCs w:val="26"/>
        </w:rPr>
        <w:t xml:space="preserve">che si affianca e si aggiunge ai meccanismi di </w:t>
      </w:r>
      <w:r w:rsidR="008A09D9" w:rsidRPr="0096487D">
        <w:rPr>
          <w:rFonts w:ascii="Garamond" w:eastAsiaTheme="minorHAnsi" w:hAnsi="Garamond" w:cs="Arial"/>
          <w:i/>
          <w:iCs/>
          <w:sz w:val="26"/>
          <w:szCs w:val="26"/>
        </w:rPr>
        <w:t>inconferibilità,</w:t>
      </w:r>
      <w:r w:rsidR="008A09D9" w:rsidRPr="008E2B66">
        <w:rPr>
          <w:rFonts w:ascii="Garamond" w:eastAsiaTheme="minorHAnsi" w:hAnsi="Garamond" w:cs="Arial"/>
          <w:sz w:val="26"/>
          <w:szCs w:val="26"/>
        </w:rPr>
        <w:t xml:space="preserve"> ossia</w:t>
      </w:r>
      <w:r w:rsidR="008A09D9" w:rsidRPr="008E2B66">
        <w:rPr>
          <w:rFonts w:ascii="Garamond" w:eastAsiaTheme="minorHAnsi" w:hAnsi="Garamond" w:cs="Arial"/>
          <w:b/>
          <w:bCs/>
          <w:sz w:val="26"/>
          <w:szCs w:val="26"/>
        </w:rPr>
        <w:t xml:space="preserve"> </w:t>
      </w:r>
      <w:r w:rsidR="008A09D9" w:rsidRPr="008E2B66">
        <w:rPr>
          <w:rFonts w:ascii="Garamond" w:eastAsiaTheme="minorHAnsi" w:hAnsi="Garamond" w:cs="Arial"/>
          <w:sz w:val="26"/>
          <w:szCs w:val="26"/>
        </w:rPr>
        <w:t>i divieti temporanei di accesso ad una carica o ad un incarico</w:t>
      </w:r>
      <w:r w:rsidR="00EA5E04" w:rsidRPr="008E2B66">
        <w:rPr>
          <w:rFonts w:ascii="Garamond" w:eastAsiaTheme="minorHAnsi" w:hAnsi="Garamond" w:cs="Arial"/>
          <w:sz w:val="26"/>
          <w:szCs w:val="26"/>
        </w:rPr>
        <w:t>, e di incompatibilità, ossia il divieto di cumulo di più cariche o incarichi, previsti dal D.lgs. n. 39/2013</w:t>
      </w:r>
      <w:r w:rsidR="006D1645" w:rsidRPr="008E2B66">
        <w:rPr>
          <w:rFonts w:ascii="Garamond" w:eastAsiaTheme="minorHAnsi" w:hAnsi="Garamond" w:cs="Arial"/>
          <w:sz w:val="26"/>
          <w:szCs w:val="26"/>
        </w:rPr>
        <w:t>.</w:t>
      </w:r>
    </w:p>
    <w:p w14:paraId="147073F4" w14:textId="5F3EFC58" w:rsidR="00A92646" w:rsidRPr="008E2B66" w:rsidRDefault="008A09D9" w:rsidP="00352748">
      <w:pPr>
        <w:autoSpaceDE w:val="0"/>
        <w:autoSpaceDN w:val="0"/>
        <w:adjustRightInd w:val="0"/>
        <w:spacing w:after="80" w:line="276" w:lineRule="auto"/>
        <w:jc w:val="both"/>
        <w:rPr>
          <w:rFonts w:ascii="Garamond" w:hAnsi="Garamond"/>
          <w:sz w:val="26"/>
          <w:szCs w:val="26"/>
        </w:rPr>
      </w:pPr>
      <w:r w:rsidRPr="008E2B66">
        <w:rPr>
          <w:rFonts w:ascii="Garamond" w:eastAsiaTheme="minorHAnsi" w:hAnsi="Garamond" w:cs="Arial"/>
          <w:sz w:val="26"/>
          <w:szCs w:val="26"/>
        </w:rPr>
        <w:t xml:space="preserve">Tali misure hanno il comune fine di salvaguardare l’imparzialità dell’azione amministrativa. La disciplina del </w:t>
      </w:r>
      <w:r w:rsidRPr="008E2B66">
        <w:rPr>
          <w:rFonts w:ascii="Garamond" w:eastAsiaTheme="minorHAnsi" w:hAnsi="Garamond" w:cs="Arial"/>
          <w:i/>
          <w:iCs/>
          <w:sz w:val="26"/>
          <w:szCs w:val="26"/>
        </w:rPr>
        <w:t>pantouflage</w:t>
      </w:r>
      <w:r w:rsidR="006D1645" w:rsidRPr="008E2B66">
        <w:rPr>
          <w:rFonts w:ascii="Garamond" w:eastAsiaTheme="minorHAnsi" w:hAnsi="Garamond" w:cs="Arial"/>
          <w:i/>
          <w:iCs/>
          <w:sz w:val="26"/>
          <w:szCs w:val="26"/>
        </w:rPr>
        <w:t xml:space="preserve">, </w:t>
      </w:r>
      <w:r w:rsidR="006D1645" w:rsidRPr="008E2B66">
        <w:rPr>
          <w:rFonts w:ascii="Garamond" w:eastAsiaTheme="minorHAnsi" w:hAnsi="Garamond" w:cs="Arial"/>
          <w:sz w:val="26"/>
          <w:szCs w:val="26"/>
        </w:rPr>
        <w:t xml:space="preserve">finalizzata </w:t>
      </w:r>
      <w:r w:rsidR="00B945B2" w:rsidRPr="008E2B66">
        <w:rPr>
          <w:rFonts w:ascii="Garamond" w:eastAsiaTheme="minorHAnsi" w:hAnsi="Garamond" w:cs="Arial"/>
          <w:sz w:val="26"/>
          <w:szCs w:val="26"/>
        </w:rPr>
        <w:t>quindi a</w:t>
      </w:r>
      <w:r w:rsidRPr="008E2B66">
        <w:rPr>
          <w:rFonts w:ascii="Garamond" w:eastAsiaTheme="minorHAnsi" w:hAnsi="Garamond" w:cs="Arial"/>
          <w:sz w:val="26"/>
          <w:szCs w:val="26"/>
        </w:rPr>
        <w:t xml:space="preserve"> </w:t>
      </w:r>
      <w:r w:rsidR="006D1645" w:rsidRPr="008E2B66">
        <w:rPr>
          <w:rFonts w:ascii="Garamond" w:eastAsiaTheme="minorHAnsi" w:hAnsi="Garamond" w:cs="Arial"/>
          <w:sz w:val="26"/>
          <w:szCs w:val="26"/>
        </w:rPr>
        <w:t xml:space="preserve">neutralizzare possibili conflitti di interesse nello svolgimento delle funzioni e di incarichi attribuiti a un dipendente pubblico </w:t>
      </w:r>
      <w:r w:rsidRPr="008E2B66">
        <w:rPr>
          <w:rFonts w:ascii="Garamond" w:eastAsiaTheme="minorHAnsi" w:hAnsi="Garamond" w:cs="Arial"/>
          <w:sz w:val="26"/>
          <w:szCs w:val="26"/>
        </w:rPr>
        <w:t>è contenuta agli artt. 53, co. 16</w:t>
      </w:r>
      <w:r w:rsidR="0096487D">
        <w:rPr>
          <w:rFonts w:ascii="Garamond" w:eastAsiaTheme="minorHAnsi" w:hAnsi="Garamond" w:cs="Arial"/>
          <w:sz w:val="26"/>
          <w:szCs w:val="26"/>
        </w:rPr>
        <w:t xml:space="preserve"> </w:t>
      </w:r>
      <w:r w:rsidRPr="0096487D">
        <w:rPr>
          <w:rFonts w:ascii="Garamond" w:eastAsiaTheme="minorHAnsi" w:hAnsi="Garamond" w:cs="Arial"/>
          <w:i/>
          <w:iCs/>
          <w:sz w:val="26"/>
          <w:szCs w:val="26"/>
        </w:rPr>
        <w:t xml:space="preserve">ter </w:t>
      </w:r>
      <w:r w:rsidRPr="008E2B66">
        <w:rPr>
          <w:rFonts w:ascii="Garamond" w:eastAsiaTheme="minorHAnsi" w:hAnsi="Garamond" w:cs="Arial"/>
          <w:sz w:val="26"/>
          <w:szCs w:val="26"/>
        </w:rPr>
        <w:t xml:space="preserve">del </w:t>
      </w:r>
      <w:r w:rsidR="00566AE6" w:rsidRPr="008E2B66">
        <w:rPr>
          <w:rFonts w:ascii="Garamond" w:eastAsiaTheme="minorHAnsi" w:hAnsi="Garamond" w:cs="Arial"/>
          <w:sz w:val="26"/>
          <w:szCs w:val="26"/>
        </w:rPr>
        <w:t>D</w:t>
      </w:r>
      <w:r w:rsidRPr="008E2B66">
        <w:rPr>
          <w:rFonts w:ascii="Garamond" w:eastAsiaTheme="minorHAnsi" w:hAnsi="Garamond" w:cs="Arial"/>
          <w:sz w:val="26"/>
          <w:szCs w:val="26"/>
        </w:rPr>
        <w:t xml:space="preserve">.lgs. n. 165/2001 e 21 del </w:t>
      </w:r>
      <w:r w:rsidR="00566AE6" w:rsidRPr="008E2B66">
        <w:rPr>
          <w:rFonts w:ascii="Garamond" w:eastAsiaTheme="minorHAnsi" w:hAnsi="Garamond" w:cs="Arial"/>
          <w:sz w:val="26"/>
          <w:szCs w:val="26"/>
        </w:rPr>
        <w:t>D</w:t>
      </w:r>
      <w:r w:rsidRPr="008E2B66">
        <w:rPr>
          <w:rFonts w:ascii="Garamond" w:eastAsiaTheme="minorHAnsi" w:hAnsi="Garamond" w:cs="Arial"/>
          <w:sz w:val="26"/>
          <w:szCs w:val="26"/>
        </w:rPr>
        <w:t>lgs. n. 39/2013.</w:t>
      </w:r>
      <w:r w:rsidR="0092113F" w:rsidRPr="008E2B66">
        <w:rPr>
          <w:rFonts w:ascii="Garamond" w:hAnsi="Garamond"/>
          <w:sz w:val="26"/>
          <w:szCs w:val="26"/>
        </w:rPr>
        <w:t xml:space="preserve"> </w:t>
      </w:r>
    </w:p>
    <w:p w14:paraId="5489CDCB" w14:textId="1CF87D90" w:rsidR="0092113F" w:rsidRPr="008E2B66" w:rsidRDefault="0092113F" w:rsidP="00352748">
      <w:pPr>
        <w:autoSpaceDE w:val="0"/>
        <w:autoSpaceDN w:val="0"/>
        <w:adjustRightInd w:val="0"/>
        <w:spacing w:after="80" w:line="276" w:lineRule="auto"/>
        <w:jc w:val="both"/>
        <w:rPr>
          <w:rFonts w:ascii="Garamond" w:eastAsiaTheme="minorHAnsi" w:hAnsi="Garamond" w:cs="Arial"/>
          <w:sz w:val="26"/>
          <w:szCs w:val="26"/>
        </w:rPr>
      </w:pPr>
      <w:r w:rsidRPr="008E2B66">
        <w:rPr>
          <w:rFonts w:ascii="Garamond" w:eastAsiaTheme="minorHAnsi" w:hAnsi="Garamond" w:cs="Arial"/>
          <w:sz w:val="26"/>
          <w:szCs w:val="26"/>
        </w:rPr>
        <w:t xml:space="preserve">Il </w:t>
      </w:r>
      <w:r w:rsidR="0096487D">
        <w:rPr>
          <w:rFonts w:ascii="Garamond" w:eastAsiaTheme="minorHAnsi" w:hAnsi="Garamond" w:cs="Arial"/>
          <w:sz w:val="26"/>
          <w:szCs w:val="26"/>
        </w:rPr>
        <w:t>l</w:t>
      </w:r>
      <w:r w:rsidRPr="008E2B66">
        <w:rPr>
          <w:rFonts w:ascii="Garamond" w:eastAsiaTheme="minorHAnsi" w:hAnsi="Garamond" w:cs="Arial"/>
          <w:sz w:val="26"/>
          <w:szCs w:val="26"/>
        </w:rPr>
        <w:t xml:space="preserve">egislatore ha attribuito ad ANAC diverse competenze in materia di </w:t>
      </w:r>
      <w:r w:rsidRPr="0096487D">
        <w:rPr>
          <w:rFonts w:ascii="Garamond" w:eastAsiaTheme="minorHAnsi" w:hAnsi="Garamond" w:cs="Arial"/>
          <w:i/>
          <w:iCs/>
          <w:sz w:val="26"/>
          <w:szCs w:val="26"/>
        </w:rPr>
        <w:t>pantouflage:</w:t>
      </w:r>
    </w:p>
    <w:p w14:paraId="45A8BEE3" w14:textId="78DFED43" w:rsidR="0092113F" w:rsidRPr="008E2B66" w:rsidRDefault="0092113F" w:rsidP="00352748">
      <w:pPr>
        <w:autoSpaceDE w:val="0"/>
        <w:autoSpaceDN w:val="0"/>
        <w:adjustRightInd w:val="0"/>
        <w:spacing w:after="80" w:line="276" w:lineRule="auto"/>
        <w:jc w:val="both"/>
        <w:rPr>
          <w:rFonts w:ascii="Garamond" w:eastAsiaTheme="minorHAnsi" w:hAnsi="Garamond" w:cs="Arial"/>
          <w:sz w:val="26"/>
          <w:szCs w:val="26"/>
        </w:rPr>
      </w:pPr>
      <w:r w:rsidRPr="008E2B66">
        <w:rPr>
          <w:rFonts w:ascii="Garamond" w:eastAsiaTheme="minorHAnsi" w:hAnsi="Garamond" w:cs="Arial"/>
          <w:sz w:val="26"/>
          <w:szCs w:val="26"/>
        </w:rPr>
        <w:t>a)</w:t>
      </w:r>
      <w:r w:rsidR="00097436" w:rsidRPr="008E2B66">
        <w:rPr>
          <w:rFonts w:ascii="Garamond" w:eastAsiaTheme="minorHAnsi" w:hAnsi="Garamond" w:cs="Arial"/>
          <w:sz w:val="26"/>
          <w:szCs w:val="26"/>
        </w:rPr>
        <w:t xml:space="preserve"> </w:t>
      </w:r>
      <w:r w:rsidRPr="008E2B66">
        <w:rPr>
          <w:rFonts w:ascii="Garamond" w:eastAsiaTheme="minorHAnsi" w:hAnsi="Garamond" w:cs="Arial"/>
          <w:sz w:val="26"/>
          <w:szCs w:val="26"/>
        </w:rPr>
        <w:t>emanazione di pareri ai sensi dell’art. 1, co. 2, lettera e), della legge 6 novembre 2012, n. 190 e s.m.i</w:t>
      </w:r>
      <w:r w:rsidR="00B945B2" w:rsidRPr="008E2B66">
        <w:rPr>
          <w:rFonts w:ascii="Garamond" w:eastAsiaTheme="minorHAnsi" w:hAnsi="Garamond" w:cs="Arial"/>
          <w:sz w:val="26"/>
          <w:szCs w:val="26"/>
        </w:rPr>
        <w:t>.</w:t>
      </w:r>
      <w:r w:rsidRPr="008E2B66">
        <w:rPr>
          <w:rFonts w:ascii="Garamond" w:eastAsiaTheme="minorHAnsi" w:hAnsi="Garamond" w:cs="Arial"/>
          <w:sz w:val="26"/>
          <w:szCs w:val="26"/>
        </w:rPr>
        <w:t>;</w:t>
      </w:r>
    </w:p>
    <w:p w14:paraId="2D4B4C86" w14:textId="0D1F0F0D" w:rsidR="00A92646" w:rsidRPr="008E2B66" w:rsidRDefault="0092113F" w:rsidP="00352748">
      <w:pPr>
        <w:autoSpaceDE w:val="0"/>
        <w:autoSpaceDN w:val="0"/>
        <w:adjustRightInd w:val="0"/>
        <w:spacing w:after="80" w:line="276" w:lineRule="auto"/>
        <w:jc w:val="both"/>
        <w:rPr>
          <w:rFonts w:ascii="Garamond" w:eastAsiaTheme="minorHAnsi" w:hAnsi="Garamond" w:cs="Arial"/>
          <w:sz w:val="26"/>
          <w:szCs w:val="26"/>
        </w:rPr>
      </w:pPr>
      <w:r w:rsidRPr="008E2B66">
        <w:rPr>
          <w:rFonts w:ascii="Garamond" w:eastAsiaTheme="minorHAnsi" w:hAnsi="Garamond" w:cs="Arial"/>
          <w:sz w:val="26"/>
          <w:szCs w:val="26"/>
        </w:rPr>
        <w:lastRenderedPageBreak/>
        <w:t>b)</w:t>
      </w:r>
      <w:r w:rsidR="00097436" w:rsidRPr="008E2B66">
        <w:rPr>
          <w:rFonts w:ascii="Garamond" w:eastAsiaTheme="minorHAnsi" w:hAnsi="Garamond" w:cs="Arial"/>
          <w:sz w:val="26"/>
          <w:szCs w:val="26"/>
        </w:rPr>
        <w:t xml:space="preserve"> </w:t>
      </w:r>
      <w:r w:rsidRPr="008E2B66">
        <w:rPr>
          <w:rFonts w:ascii="Garamond" w:eastAsiaTheme="minorHAnsi" w:hAnsi="Garamond" w:cs="Arial"/>
          <w:sz w:val="26"/>
          <w:szCs w:val="26"/>
        </w:rPr>
        <w:t>esercizio di un potere regolatorio ricavabile da una interpretazione sistematica delle norme di cui alla</w:t>
      </w:r>
      <w:r w:rsidR="00097436" w:rsidRPr="008E2B66">
        <w:rPr>
          <w:rFonts w:ascii="Garamond" w:eastAsiaTheme="minorHAnsi" w:hAnsi="Garamond" w:cs="Arial"/>
          <w:sz w:val="26"/>
          <w:szCs w:val="26"/>
        </w:rPr>
        <w:t xml:space="preserve"> </w:t>
      </w:r>
      <w:r w:rsidRPr="008E2B66">
        <w:rPr>
          <w:rFonts w:ascii="Garamond" w:eastAsiaTheme="minorHAnsi" w:hAnsi="Garamond" w:cs="Arial"/>
          <w:sz w:val="26"/>
          <w:szCs w:val="26"/>
        </w:rPr>
        <w:t>legge 190/2012 e che consiste nella formulazione di indirizzi in materia anche mediante apposite Linee</w:t>
      </w:r>
      <w:r w:rsidR="00097436" w:rsidRPr="008E2B66">
        <w:rPr>
          <w:rFonts w:ascii="Garamond" w:eastAsiaTheme="minorHAnsi" w:hAnsi="Garamond" w:cs="Arial"/>
          <w:sz w:val="26"/>
          <w:szCs w:val="26"/>
        </w:rPr>
        <w:t xml:space="preserve"> </w:t>
      </w:r>
      <w:r w:rsidRPr="008E2B66">
        <w:rPr>
          <w:rFonts w:ascii="Garamond" w:eastAsiaTheme="minorHAnsi" w:hAnsi="Garamond" w:cs="Arial"/>
          <w:sz w:val="26"/>
          <w:szCs w:val="26"/>
        </w:rPr>
        <w:t>guida.</w:t>
      </w:r>
    </w:p>
    <w:p w14:paraId="252BA787" w14:textId="77777777" w:rsidR="00191E56" w:rsidRDefault="0092113F" w:rsidP="00352748">
      <w:pPr>
        <w:autoSpaceDE w:val="0"/>
        <w:autoSpaceDN w:val="0"/>
        <w:adjustRightInd w:val="0"/>
        <w:spacing w:after="80" w:line="276" w:lineRule="auto"/>
        <w:jc w:val="both"/>
        <w:rPr>
          <w:rFonts w:ascii="Garamond" w:eastAsiaTheme="minorHAnsi" w:hAnsi="Garamond" w:cs="Arial"/>
          <w:sz w:val="26"/>
          <w:szCs w:val="26"/>
        </w:rPr>
      </w:pPr>
      <w:r w:rsidRPr="008E2B66">
        <w:rPr>
          <w:rFonts w:ascii="Garamond" w:eastAsiaTheme="minorHAnsi" w:hAnsi="Garamond" w:cs="Arial"/>
          <w:sz w:val="26"/>
          <w:szCs w:val="26"/>
        </w:rPr>
        <w:t>La giurisprudenza ha</w:t>
      </w:r>
      <w:r w:rsidR="006D1645" w:rsidRPr="008E2B66">
        <w:rPr>
          <w:rFonts w:ascii="Garamond" w:eastAsiaTheme="minorHAnsi" w:hAnsi="Garamond" w:cs="Arial"/>
          <w:sz w:val="26"/>
          <w:szCs w:val="26"/>
        </w:rPr>
        <w:t xml:space="preserve">, </w:t>
      </w:r>
      <w:r w:rsidR="00B945B2" w:rsidRPr="008E2B66">
        <w:rPr>
          <w:rFonts w:ascii="Garamond" w:eastAsiaTheme="minorHAnsi" w:hAnsi="Garamond" w:cs="Arial"/>
          <w:sz w:val="26"/>
          <w:szCs w:val="26"/>
        </w:rPr>
        <w:t>inoltre, riconosciuto</w:t>
      </w:r>
      <w:r w:rsidRPr="008E2B66">
        <w:rPr>
          <w:rFonts w:ascii="Garamond" w:eastAsiaTheme="minorHAnsi" w:hAnsi="Garamond" w:cs="Arial"/>
          <w:sz w:val="26"/>
          <w:szCs w:val="26"/>
        </w:rPr>
        <w:t xml:space="preserve"> </w:t>
      </w:r>
      <w:r w:rsidR="00B945B2" w:rsidRPr="008E2B66">
        <w:rPr>
          <w:rFonts w:ascii="Garamond" w:eastAsiaTheme="minorHAnsi" w:hAnsi="Garamond" w:cs="Arial"/>
          <w:sz w:val="26"/>
          <w:szCs w:val="26"/>
        </w:rPr>
        <w:t>all’</w:t>
      </w:r>
      <w:r w:rsidR="00191E56">
        <w:rPr>
          <w:rFonts w:ascii="Garamond" w:eastAsiaTheme="minorHAnsi" w:hAnsi="Garamond" w:cs="Arial"/>
          <w:sz w:val="26"/>
          <w:szCs w:val="26"/>
        </w:rPr>
        <w:t>ANAC</w:t>
      </w:r>
      <w:r w:rsidR="00B945B2" w:rsidRPr="008E2B66">
        <w:rPr>
          <w:rFonts w:ascii="Garamond" w:eastAsiaTheme="minorHAnsi" w:hAnsi="Garamond" w:cs="Arial"/>
          <w:sz w:val="26"/>
          <w:szCs w:val="26"/>
        </w:rPr>
        <w:t xml:space="preserve"> </w:t>
      </w:r>
      <w:r w:rsidRPr="008E2B66">
        <w:rPr>
          <w:rFonts w:ascii="Garamond" w:eastAsiaTheme="minorHAnsi" w:hAnsi="Garamond" w:cs="Arial"/>
          <w:sz w:val="26"/>
          <w:szCs w:val="26"/>
        </w:rPr>
        <w:t>la vigilanza e il conseguente potere sanzionatorio in</w:t>
      </w:r>
      <w:r w:rsidR="00097436" w:rsidRPr="008E2B66">
        <w:rPr>
          <w:rFonts w:ascii="Garamond" w:eastAsiaTheme="minorHAnsi" w:hAnsi="Garamond" w:cs="Arial"/>
          <w:sz w:val="26"/>
          <w:szCs w:val="26"/>
        </w:rPr>
        <w:t xml:space="preserve"> </w:t>
      </w:r>
      <w:r w:rsidRPr="008E2B66">
        <w:rPr>
          <w:rFonts w:ascii="Garamond" w:eastAsiaTheme="minorHAnsi" w:hAnsi="Garamond" w:cs="Arial"/>
          <w:sz w:val="26"/>
          <w:szCs w:val="26"/>
        </w:rPr>
        <w:t>materia, come ricordato</w:t>
      </w:r>
      <w:r w:rsidR="00A92646" w:rsidRPr="008E2B66">
        <w:rPr>
          <w:rFonts w:ascii="Garamond" w:eastAsiaTheme="minorHAnsi" w:hAnsi="Garamond" w:cs="Arial"/>
          <w:sz w:val="26"/>
          <w:szCs w:val="26"/>
        </w:rPr>
        <w:t>,</w:t>
      </w:r>
      <w:r w:rsidRPr="008E2B66">
        <w:rPr>
          <w:rFonts w:ascii="Garamond" w:eastAsiaTheme="minorHAnsi" w:hAnsi="Garamond" w:cs="Arial"/>
          <w:sz w:val="26"/>
          <w:szCs w:val="26"/>
        </w:rPr>
        <w:t xml:space="preserve"> anche nel PNA 2022. </w:t>
      </w:r>
    </w:p>
    <w:p w14:paraId="09CE02E3" w14:textId="77777777" w:rsidR="00191E56" w:rsidRPr="00625CDD" w:rsidRDefault="00A92646" w:rsidP="00352748">
      <w:pPr>
        <w:autoSpaceDE w:val="0"/>
        <w:autoSpaceDN w:val="0"/>
        <w:adjustRightInd w:val="0"/>
        <w:spacing w:after="80" w:line="276" w:lineRule="auto"/>
        <w:jc w:val="both"/>
        <w:rPr>
          <w:rFonts w:ascii="Garamond" w:eastAsiaTheme="minorHAnsi" w:hAnsi="Garamond" w:cs="Arial"/>
          <w:sz w:val="26"/>
          <w:szCs w:val="26"/>
        </w:rPr>
      </w:pPr>
      <w:r w:rsidRPr="00625CDD">
        <w:rPr>
          <w:rFonts w:ascii="Garamond" w:eastAsiaTheme="minorHAnsi" w:hAnsi="Garamond" w:cs="Arial"/>
          <w:sz w:val="26"/>
          <w:szCs w:val="26"/>
        </w:rPr>
        <w:t xml:space="preserve">Con </w:t>
      </w:r>
      <w:r w:rsidR="00FF3DB8" w:rsidRPr="00625CDD">
        <w:rPr>
          <w:rFonts w:ascii="Garamond" w:eastAsiaTheme="minorHAnsi" w:hAnsi="Garamond" w:cs="Arial"/>
          <w:sz w:val="26"/>
          <w:szCs w:val="26"/>
        </w:rPr>
        <w:t xml:space="preserve">la </w:t>
      </w:r>
      <w:r w:rsidRPr="00625CDD">
        <w:rPr>
          <w:rFonts w:ascii="Garamond" w:eastAsiaTheme="minorHAnsi" w:hAnsi="Garamond" w:cs="Arial"/>
          <w:sz w:val="26"/>
          <w:szCs w:val="26"/>
        </w:rPr>
        <w:t>delibera n. 493</w:t>
      </w:r>
      <w:r w:rsidR="00B3268D" w:rsidRPr="00625CDD">
        <w:rPr>
          <w:rFonts w:ascii="Garamond" w:eastAsiaTheme="minorHAnsi" w:hAnsi="Garamond" w:cs="Arial"/>
          <w:sz w:val="26"/>
          <w:szCs w:val="26"/>
        </w:rPr>
        <w:t>/</w:t>
      </w:r>
      <w:r w:rsidRPr="00625CDD">
        <w:rPr>
          <w:rFonts w:ascii="Garamond" w:eastAsiaTheme="minorHAnsi" w:hAnsi="Garamond" w:cs="Arial"/>
          <w:sz w:val="26"/>
          <w:szCs w:val="26"/>
        </w:rPr>
        <w:t>2024</w:t>
      </w:r>
      <w:r w:rsidR="00DB6F2C" w:rsidRPr="00625CDD">
        <w:rPr>
          <w:rFonts w:ascii="Garamond" w:eastAsiaTheme="minorHAnsi" w:hAnsi="Garamond" w:cs="Arial"/>
          <w:sz w:val="26"/>
          <w:szCs w:val="26"/>
        </w:rPr>
        <w:t>, pubblicata il 13 novembre 2024,</w:t>
      </w:r>
      <w:r w:rsidRPr="00625CDD">
        <w:rPr>
          <w:rFonts w:ascii="Garamond" w:eastAsiaTheme="minorHAnsi" w:hAnsi="Garamond" w:cs="Arial"/>
          <w:sz w:val="26"/>
          <w:szCs w:val="26"/>
        </w:rPr>
        <w:t xml:space="preserve"> l’A</w:t>
      </w:r>
      <w:r w:rsidR="00495A77" w:rsidRPr="00625CDD">
        <w:rPr>
          <w:rFonts w:ascii="Garamond" w:eastAsiaTheme="minorHAnsi" w:hAnsi="Garamond" w:cs="Arial"/>
          <w:sz w:val="26"/>
          <w:szCs w:val="26"/>
        </w:rPr>
        <w:t xml:space="preserve">utorità </w:t>
      </w:r>
      <w:r w:rsidRPr="00625CDD">
        <w:rPr>
          <w:rFonts w:ascii="Garamond" w:eastAsiaTheme="minorHAnsi" w:hAnsi="Garamond" w:cs="Arial"/>
          <w:sz w:val="26"/>
          <w:szCs w:val="26"/>
        </w:rPr>
        <w:t xml:space="preserve">ha adottato le </w:t>
      </w:r>
      <w:r w:rsidRPr="00625CDD">
        <w:rPr>
          <w:rFonts w:ascii="Garamond" w:eastAsiaTheme="minorHAnsi" w:hAnsi="Garamond" w:cs="Arial"/>
          <w:i/>
          <w:iCs/>
          <w:sz w:val="26"/>
          <w:szCs w:val="26"/>
        </w:rPr>
        <w:t>Linee Guida n. 1 in tema di c.d. divieto di pantouflage</w:t>
      </w:r>
      <w:r w:rsidR="00191E56" w:rsidRPr="00625CDD">
        <w:rPr>
          <w:rFonts w:ascii="Garamond" w:eastAsiaTheme="minorHAnsi" w:hAnsi="Garamond" w:cs="Arial"/>
          <w:i/>
          <w:iCs/>
          <w:sz w:val="26"/>
          <w:szCs w:val="26"/>
        </w:rPr>
        <w:t xml:space="preserve"> - </w:t>
      </w:r>
      <w:r w:rsidRPr="00625CDD">
        <w:rPr>
          <w:rFonts w:ascii="Garamond" w:eastAsiaTheme="minorHAnsi" w:hAnsi="Garamond" w:cs="Arial"/>
          <w:i/>
          <w:iCs/>
          <w:sz w:val="26"/>
          <w:szCs w:val="26"/>
        </w:rPr>
        <w:t>art. 53, comma 16</w:t>
      </w:r>
      <w:r w:rsidR="00191E56" w:rsidRPr="00625CDD">
        <w:rPr>
          <w:rFonts w:ascii="Garamond" w:eastAsiaTheme="minorHAnsi" w:hAnsi="Garamond" w:cs="Arial"/>
          <w:i/>
          <w:iCs/>
          <w:sz w:val="26"/>
          <w:szCs w:val="26"/>
        </w:rPr>
        <w:t xml:space="preserve"> </w:t>
      </w:r>
      <w:r w:rsidRPr="00625CDD">
        <w:rPr>
          <w:rFonts w:ascii="Garamond" w:eastAsiaTheme="minorHAnsi" w:hAnsi="Garamond" w:cs="Arial"/>
          <w:i/>
          <w:iCs/>
          <w:sz w:val="26"/>
          <w:szCs w:val="26"/>
        </w:rPr>
        <w:t xml:space="preserve">ter, </w:t>
      </w:r>
      <w:r w:rsidR="00566AE6" w:rsidRPr="00625CDD">
        <w:rPr>
          <w:rFonts w:ascii="Garamond" w:eastAsiaTheme="minorHAnsi" w:hAnsi="Garamond" w:cs="Arial"/>
          <w:i/>
          <w:iCs/>
          <w:sz w:val="26"/>
          <w:szCs w:val="26"/>
        </w:rPr>
        <w:t>D</w:t>
      </w:r>
      <w:r w:rsidRPr="00625CDD">
        <w:rPr>
          <w:rFonts w:ascii="Garamond" w:eastAsiaTheme="minorHAnsi" w:hAnsi="Garamond" w:cs="Arial"/>
          <w:i/>
          <w:iCs/>
          <w:sz w:val="26"/>
          <w:szCs w:val="26"/>
        </w:rPr>
        <w:t>.lgs. 165/2001</w:t>
      </w:r>
      <w:r w:rsidR="003A5D05" w:rsidRPr="00625CDD">
        <w:rPr>
          <w:rFonts w:ascii="Garamond" w:eastAsiaTheme="minorHAnsi" w:hAnsi="Garamond" w:cs="Arial"/>
          <w:i/>
          <w:iCs/>
          <w:sz w:val="26"/>
          <w:szCs w:val="26"/>
        </w:rPr>
        <w:t xml:space="preserve"> </w:t>
      </w:r>
      <w:r w:rsidR="003A5D05" w:rsidRPr="00625CDD">
        <w:rPr>
          <w:rFonts w:ascii="Garamond" w:eastAsiaTheme="minorHAnsi" w:hAnsi="Garamond" w:cs="Arial"/>
          <w:sz w:val="26"/>
          <w:szCs w:val="26"/>
        </w:rPr>
        <w:t>con cui ha fornito indirizzi interpretativi</w:t>
      </w:r>
      <w:r w:rsidR="008062AE" w:rsidRPr="00625CDD">
        <w:rPr>
          <w:rFonts w:ascii="Garamond" w:eastAsiaTheme="minorHAnsi" w:hAnsi="Garamond" w:cs="Arial"/>
          <w:sz w:val="26"/>
          <w:szCs w:val="26"/>
        </w:rPr>
        <w:t xml:space="preserve"> e operativi su profili sostanziali e sanzionatori attinenti al</w:t>
      </w:r>
      <w:r w:rsidR="00F7411A" w:rsidRPr="00625CDD">
        <w:rPr>
          <w:rFonts w:ascii="Garamond" w:eastAsiaTheme="minorHAnsi" w:hAnsi="Garamond" w:cs="Arial"/>
          <w:sz w:val="26"/>
          <w:szCs w:val="26"/>
        </w:rPr>
        <w:t xml:space="preserve"> divieto</w:t>
      </w:r>
      <w:r w:rsidR="0096487D" w:rsidRPr="00625CDD">
        <w:rPr>
          <w:rFonts w:ascii="Garamond" w:eastAsiaTheme="minorHAnsi" w:hAnsi="Garamond" w:cs="Arial"/>
          <w:sz w:val="26"/>
          <w:szCs w:val="26"/>
        </w:rPr>
        <w:t>,</w:t>
      </w:r>
      <w:r w:rsidR="00F7411A" w:rsidRPr="00625CDD">
        <w:rPr>
          <w:rFonts w:ascii="Garamond" w:eastAsiaTheme="minorHAnsi" w:hAnsi="Garamond" w:cs="Arial"/>
          <w:sz w:val="26"/>
          <w:szCs w:val="26"/>
        </w:rPr>
        <w:t xml:space="preserve"> al fine di </w:t>
      </w:r>
      <w:r w:rsidR="00AE2B25" w:rsidRPr="00625CDD">
        <w:rPr>
          <w:rFonts w:ascii="Garamond" w:eastAsiaTheme="minorHAnsi" w:hAnsi="Garamond" w:cs="Arial"/>
          <w:sz w:val="26"/>
          <w:szCs w:val="26"/>
        </w:rPr>
        <w:t>orientare</w:t>
      </w:r>
      <w:r w:rsidR="00F7411A" w:rsidRPr="00625CDD">
        <w:rPr>
          <w:rFonts w:ascii="Garamond" w:eastAsiaTheme="minorHAnsi" w:hAnsi="Garamond" w:cs="Arial"/>
          <w:sz w:val="26"/>
          <w:szCs w:val="26"/>
        </w:rPr>
        <w:t xml:space="preserve"> al meglio le amministrazioni nella individuazione di misure di prevenzione.</w:t>
      </w:r>
      <w:r w:rsidR="00AA1D5C" w:rsidRPr="00625CDD">
        <w:rPr>
          <w:rFonts w:ascii="Garamond" w:eastAsiaTheme="minorHAnsi" w:hAnsi="Garamond" w:cs="Arial"/>
          <w:sz w:val="26"/>
          <w:szCs w:val="26"/>
        </w:rPr>
        <w:t xml:space="preserve"> </w:t>
      </w:r>
    </w:p>
    <w:p w14:paraId="2B775576" w14:textId="2265C8D1" w:rsidR="00FF3DB8" w:rsidRPr="008E2B66" w:rsidRDefault="00AA1D5C" w:rsidP="00352748">
      <w:pPr>
        <w:autoSpaceDE w:val="0"/>
        <w:autoSpaceDN w:val="0"/>
        <w:adjustRightInd w:val="0"/>
        <w:spacing w:after="80" w:line="276" w:lineRule="auto"/>
        <w:jc w:val="both"/>
        <w:rPr>
          <w:rFonts w:ascii="Garamond" w:eastAsiaTheme="minorHAnsi" w:hAnsi="Garamond" w:cs="Arial"/>
          <w:sz w:val="26"/>
          <w:szCs w:val="26"/>
        </w:rPr>
      </w:pPr>
      <w:r w:rsidRPr="00625CDD">
        <w:rPr>
          <w:rFonts w:ascii="Garamond" w:eastAsiaTheme="minorHAnsi" w:hAnsi="Garamond" w:cs="Arial"/>
          <w:sz w:val="26"/>
          <w:szCs w:val="26"/>
        </w:rPr>
        <w:t>Pertanto, è stato necessario programmare</w:t>
      </w:r>
      <w:r w:rsidR="009B21D6" w:rsidRPr="00625CDD">
        <w:rPr>
          <w:rFonts w:ascii="Garamond" w:eastAsiaTheme="minorHAnsi" w:hAnsi="Garamond" w:cs="Arial"/>
          <w:sz w:val="26"/>
          <w:szCs w:val="26"/>
        </w:rPr>
        <w:t xml:space="preserve"> per il 2025</w:t>
      </w:r>
      <w:r w:rsidRPr="00625CDD">
        <w:rPr>
          <w:rFonts w:ascii="Garamond" w:eastAsiaTheme="minorHAnsi" w:hAnsi="Garamond" w:cs="Arial"/>
          <w:sz w:val="26"/>
          <w:szCs w:val="26"/>
        </w:rPr>
        <w:t xml:space="preserve"> un</w:t>
      </w:r>
      <w:r w:rsidR="00E579E9" w:rsidRPr="00625CDD">
        <w:rPr>
          <w:rFonts w:ascii="Garamond" w:eastAsiaTheme="minorHAnsi" w:hAnsi="Garamond" w:cs="Arial"/>
          <w:sz w:val="26"/>
          <w:szCs w:val="26"/>
        </w:rPr>
        <w:t>a analisi dell</w:t>
      </w:r>
      <w:r w:rsidR="0096487D" w:rsidRPr="00625CDD">
        <w:rPr>
          <w:rFonts w:ascii="Garamond" w:eastAsiaTheme="minorHAnsi" w:hAnsi="Garamond" w:cs="Arial"/>
          <w:sz w:val="26"/>
          <w:szCs w:val="26"/>
        </w:rPr>
        <w:t>a</w:t>
      </w:r>
      <w:r w:rsidR="00E579E9" w:rsidRPr="00625CDD">
        <w:rPr>
          <w:rFonts w:ascii="Garamond" w:eastAsiaTheme="minorHAnsi" w:hAnsi="Garamond" w:cs="Arial"/>
          <w:sz w:val="26"/>
          <w:szCs w:val="26"/>
        </w:rPr>
        <w:t xml:space="preserve"> nuova normativa ed un aggiornamento delle</w:t>
      </w:r>
      <w:r w:rsidR="002338A8" w:rsidRPr="00625CDD">
        <w:rPr>
          <w:rFonts w:ascii="Garamond" w:eastAsiaTheme="minorHAnsi" w:hAnsi="Garamond" w:cs="Arial"/>
          <w:sz w:val="26"/>
          <w:szCs w:val="26"/>
        </w:rPr>
        <w:t xml:space="preserve"> indicazioni</w:t>
      </w:r>
      <w:r w:rsidR="00191E56" w:rsidRPr="00625CDD">
        <w:rPr>
          <w:rFonts w:ascii="Garamond" w:eastAsiaTheme="minorHAnsi" w:hAnsi="Garamond" w:cs="Arial"/>
          <w:sz w:val="26"/>
          <w:szCs w:val="26"/>
        </w:rPr>
        <w:t xml:space="preserve"> in precedenza</w:t>
      </w:r>
      <w:r w:rsidR="002338A8" w:rsidRPr="00625CDD">
        <w:rPr>
          <w:rFonts w:ascii="Garamond" w:eastAsiaTheme="minorHAnsi" w:hAnsi="Garamond" w:cs="Arial"/>
          <w:sz w:val="26"/>
          <w:szCs w:val="26"/>
        </w:rPr>
        <w:t xml:space="preserve"> fornite con le circolari RPCT n. 2/2016 e n. 2/2018</w:t>
      </w:r>
      <w:r w:rsidR="0005063D" w:rsidRPr="00625CDD">
        <w:rPr>
          <w:rFonts w:ascii="Garamond" w:eastAsiaTheme="minorHAnsi" w:hAnsi="Garamond" w:cs="Arial"/>
          <w:sz w:val="26"/>
          <w:szCs w:val="26"/>
        </w:rPr>
        <w:t>.</w:t>
      </w:r>
    </w:p>
    <w:p w14:paraId="513B6898" w14:textId="3E5BE08E" w:rsidR="0096487D" w:rsidRPr="0096487D" w:rsidRDefault="00833E49" w:rsidP="0096487D">
      <w:pPr>
        <w:spacing w:after="80" w:line="276" w:lineRule="auto"/>
        <w:jc w:val="both"/>
        <w:rPr>
          <w:rFonts w:ascii="Garamond" w:eastAsiaTheme="minorHAnsi" w:hAnsi="Garamond" w:cs="Arial"/>
          <w:sz w:val="26"/>
          <w:szCs w:val="26"/>
        </w:rPr>
      </w:pPr>
      <w:r w:rsidRPr="00625CDD">
        <w:rPr>
          <w:rFonts w:ascii="Garamond" w:eastAsiaTheme="minorHAnsi" w:hAnsi="Garamond" w:cs="Arial"/>
          <w:sz w:val="26"/>
          <w:szCs w:val="26"/>
        </w:rPr>
        <w:t xml:space="preserve">Come programmato </w:t>
      </w:r>
      <w:r w:rsidR="00926AF7" w:rsidRPr="00625CDD">
        <w:rPr>
          <w:rFonts w:ascii="Garamond" w:eastAsiaTheme="minorHAnsi" w:hAnsi="Garamond" w:cs="Arial"/>
          <w:sz w:val="26"/>
          <w:szCs w:val="26"/>
        </w:rPr>
        <w:t>nel PIAO 20</w:t>
      </w:r>
      <w:r w:rsidR="002206BE" w:rsidRPr="00625CDD">
        <w:rPr>
          <w:rFonts w:ascii="Garamond" w:eastAsiaTheme="minorHAnsi" w:hAnsi="Garamond" w:cs="Arial"/>
          <w:sz w:val="26"/>
          <w:szCs w:val="26"/>
        </w:rPr>
        <w:t>25</w:t>
      </w:r>
      <w:r w:rsidR="00B92605" w:rsidRPr="00625CDD">
        <w:rPr>
          <w:rFonts w:ascii="Garamond" w:eastAsiaTheme="minorHAnsi" w:hAnsi="Garamond" w:cs="Arial"/>
          <w:sz w:val="26"/>
          <w:szCs w:val="26"/>
        </w:rPr>
        <w:t>/</w:t>
      </w:r>
      <w:r w:rsidR="002206BE" w:rsidRPr="00625CDD">
        <w:rPr>
          <w:rFonts w:ascii="Garamond" w:eastAsiaTheme="minorHAnsi" w:hAnsi="Garamond" w:cs="Arial"/>
          <w:sz w:val="26"/>
          <w:szCs w:val="26"/>
        </w:rPr>
        <w:t>2027</w:t>
      </w:r>
      <w:r w:rsidR="00612C88" w:rsidRPr="00625CDD">
        <w:rPr>
          <w:rFonts w:ascii="Garamond" w:eastAsiaTheme="minorHAnsi" w:hAnsi="Garamond" w:cs="Arial"/>
          <w:sz w:val="26"/>
          <w:szCs w:val="26"/>
        </w:rPr>
        <w:t>,</w:t>
      </w:r>
      <w:r w:rsidR="002206BE" w:rsidRPr="00625CDD">
        <w:rPr>
          <w:rFonts w:ascii="Garamond" w:eastAsiaTheme="minorHAnsi" w:hAnsi="Garamond" w:cs="Arial"/>
          <w:sz w:val="26"/>
          <w:szCs w:val="26"/>
        </w:rPr>
        <w:t xml:space="preserve"> nel corso del 2025</w:t>
      </w:r>
      <w:r w:rsidR="00612C88" w:rsidRPr="00625CDD">
        <w:rPr>
          <w:rFonts w:ascii="Garamond" w:eastAsiaTheme="minorHAnsi" w:hAnsi="Garamond" w:cs="Arial"/>
          <w:sz w:val="26"/>
          <w:szCs w:val="26"/>
        </w:rPr>
        <w:t xml:space="preserve">, </w:t>
      </w:r>
      <w:r w:rsidR="000E3D82" w:rsidRPr="00625CDD">
        <w:rPr>
          <w:rFonts w:ascii="Garamond" w:eastAsiaTheme="minorHAnsi" w:hAnsi="Garamond" w:cs="Arial"/>
          <w:sz w:val="26"/>
          <w:szCs w:val="26"/>
        </w:rPr>
        <w:t xml:space="preserve">con la nota n. </w:t>
      </w:r>
      <w:r w:rsidR="0083149E" w:rsidRPr="00625CDD">
        <w:rPr>
          <w:rFonts w:ascii="Garamond" w:eastAsiaTheme="minorHAnsi" w:hAnsi="Garamond" w:cs="Arial"/>
          <w:sz w:val="26"/>
          <w:szCs w:val="26"/>
        </w:rPr>
        <w:t>4</w:t>
      </w:r>
      <w:r w:rsidR="008C6F39" w:rsidRPr="00625CDD">
        <w:rPr>
          <w:rFonts w:ascii="Garamond" w:eastAsiaTheme="minorHAnsi" w:hAnsi="Garamond" w:cs="Arial"/>
          <w:sz w:val="26"/>
          <w:szCs w:val="26"/>
        </w:rPr>
        <w:t>9686 del 30</w:t>
      </w:r>
      <w:r w:rsidR="00B92605" w:rsidRPr="00625CDD">
        <w:rPr>
          <w:rFonts w:ascii="Garamond" w:eastAsiaTheme="minorHAnsi" w:hAnsi="Garamond" w:cs="Arial"/>
          <w:sz w:val="26"/>
          <w:szCs w:val="26"/>
        </w:rPr>
        <w:t xml:space="preserve"> giugno </w:t>
      </w:r>
      <w:r w:rsidR="008C6F39" w:rsidRPr="00625CDD">
        <w:rPr>
          <w:rFonts w:ascii="Garamond" w:eastAsiaTheme="minorHAnsi" w:hAnsi="Garamond" w:cs="Arial"/>
          <w:sz w:val="26"/>
          <w:szCs w:val="26"/>
        </w:rPr>
        <w:t>2025</w:t>
      </w:r>
      <w:r w:rsidR="00612C88" w:rsidRPr="00625CDD">
        <w:rPr>
          <w:rFonts w:ascii="Garamond" w:eastAsiaTheme="minorHAnsi" w:hAnsi="Garamond" w:cs="Arial"/>
          <w:sz w:val="26"/>
          <w:szCs w:val="26"/>
        </w:rPr>
        <w:t xml:space="preserve"> pubblicata al seguente link</w:t>
      </w:r>
      <w:r w:rsidR="008C6F39" w:rsidRPr="00625CDD">
        <w:rPr>
          <w:rFonts w:ascii="Garamond" w:eastAsiaTheme="minorHAnsi" w:hAnsi="Garamond" w:cs="Arial"/>
          <w:sz w:val="26"/>
          <w:szCs w:val="26"/>
        </w:rPr>
        <w:t xml:space="preserve"> </w:t>
      </w:r>
      <w:hyperlink r:id="rId19" w:history="1">
        <w:r w:rsidR="00612C88" w:rsidRPr="00625CDD">
          <w:rPr>
            <w:rStyle w:val="Collegamentoipertestuale"/>
            <w:rFonts w:ascii="Garamond" w:eastAsiaTheme="minorHAnsi" w:hAnsi="Garamond" w:cs="Arial"/>
            <w:sz w:val="26"/>
            <w:szCs w:val="26"/>
          </w:rPr>
          <w:t>https://www.crea.gov.it/en/circolari-in-materia-di-anticorruzione-e-trasparenza</w:t>
        </w:r>
      </w:hyperlink>
      <w:r w:rsidR="00612C88" w:rsidRPr="00625CDD">
        <w:rPr>
          <w:rFonts w:ascii="Garamond" w:eastAsiaTheme="minorHAnsi" w:hAnsi="Garamond" w:cs="Arial"/>
          <w:sz w:val="26"/>
          <w:szCs w:val="26"/>
        </w:rPr>
        <w:t xml:space="preserve">, </w:t>
      </w:r>
      <w:r w:rsidR="00487F0E" w:rsidRPr="00625CDD">
        <w:rPr>
          <w:rFonts w:ascii="Garamond" w:eastAsiaTheme="minorHAnsi" w:hAnsi="Garamond" w:cs="Arial"/>
          <w:sz w:val="26"/>
          <w:szCs w:val="26"/>
        </w:rPr>
        <w:t xml:space="preserve">sono state aggiornate </w:t>
      </w:r>
      <w:r w:rsidR="000E3D82" w:rsidRPr="00625CDD">
        <w:rPr>
          <w:rFonts w:ascii="Garamond" w:eastAsiaTheme="minorHAnsi" w:hAnsi="Garamond" w:cs="Arial"/>
          <w:sz w:val="26"/>
          <w:szCs w:val="26"/>
        </w:rPr>
        <w:t xml:space="preserve">le indicazioni </w:t>
      </w:r>
      <w:r w:rsidR="008C6F39" w:rsidRPr="00625CDD">
        <w:rPr>
          <w:rFonts w:ascii="Garamond" w:eastAsiaTheme="minorHAnsi" w:hAnsi="Garamond" w:cs="Arial"/>
          <w:sz w:val="26"/>
          <w:szCs w:val="26"/>
        </w:rPr>
        <w:t xml:space="preserve">fornite in materia di </w:t>
      </w:r>
      <w:r w:rsidR="008C6F39" w:rsidRPr="00625CDD">
        <w:rPr>
          <w:rFonts w:ascii="Garamond" w:eastAsiaTheme="minorHAnsi" w:hAnsi="Garamond" w:cs="Arial"/>
          <w:i/>
          <w:iCs/>
          <w:sz w:val="26"/>
          <w:szCs w:val="26"/>
        </w:rPr>
        <w:t>pantouflage</w:t>
      </w:r>
      <w:r w:rsidR="008C6F39" w:rsidRPr="008E2B66">
        <w:rPr>
          <w:rFonts w:ascii="Garamond" w:eastAsiaTheme="minorHAnsi" w:hAnsi="Garamond" w:cs="Arial"/>
          <w:i/>
          <w:iCs/>
          <w:sz w:val="26"/>
          <w:szCs w:val="26"/>
        </w:rPr>
        <w:t>.</w:t>
      </w:r>
    </w:p>
    <w:p w14:paraId="34D1A21A" w14:textId="77777777" w:rsidR="00191E56" w:rsidRDefault="00191E56" w:rsidP="00615F59">
      <w:pPr>
        <w:spacing w:line="360" w:lineRule="auto"/>
        <w:jc w:val="both"/>
        <w:rPr>
          <w:rFonts w:ascii="Garamond" w:hAnsi="Garamond" w:cs="Arial"/>
          <w:b/>
          <w:bCs/>
          <w:sz w:val="26"/>
          <w:szCs w:val="26"/>
          <w:u w:color="000000"/>
        </w:rPr>
      </w:pPr>
    </w:p>
    <w:p w14:paraId="6FF0DA0A" w14:textId="3F518114" w:rsidR="007760EE" w:rsidRPr="008E2B66" w:rsidRDefault="007760EE" w:rsidP="00615F59">
      <w:pPr>
        <w:spacing w:line="360" w:lineRule="auto"/>
        <w:jc w:val="both"/>
        <w:rPr>
          <w:rFonts w:ascii="Garamond" w:hAnsi="Garamond" w:cs="Arial"/>
          <w:b/>
          <w:bCs/>
          <w:sz w:val="26"/>
          <w:szCs w:val="26"/>
          <w:u w:color="000000"/>
        </w:rPr>
      </w:pPr>
      <w:r w:rsidRPr="008E2B66">
        <w:rPr>
          <w:rFonts w:ascii="Garamond" w:hAnsi="Garamond" w:cs="Arial"/>
          <w:b/>
          <w:bCs/>
          <w:sz w:val="26"/>
          <w:szCs w:val="26"/>
          <w:u w:color="000000"/>
        </w:rPr>
        <w:t>Patt</w:t>
      </w:r>
      <w:r w:rsidR="00B40BCC" w:rsidRPr="008E2B66">
        <w:rPr>
          <w:rFonts w:ascii="Garamond" w:hAnsi="Garamond" w:cs="Arial"/>
          <w:b/>
          <w:bCs/>
          <w:sz w:val="26"/>
          <w:szCs w:val="26"/>
          <w:u w:color="000000"/>
        </w:rPr>
        <w:t>o</w:t>
      </w:r>
      <w:r w:rsidRPr="008E2B66">
        <w:rPr>
          <w:rFonts w:ascii="Garamond" w:hAnsi="Garamond" w:cs="Arial"/>
          <w:b/>
          <w:bCs/>
          <w:sz w:val="26"/>
          <w:szCs w:val="26"/>
          <w:u w:color="000000"/>
        </w:rPr>
        <w:t xml:space="preserve"> d’integrità</w:t>
      </w:r>
    </w:p>
    <w:p w14:paraId="4193DF3A" w14:textId="2C13AC74" w:rsidR="007760EE" w:rsidRPr="008E2B66" w:rsidRDefault="007760EE" w:rsidP="00352748">
      <w:pPr>
        <w:spacing w:after="80" w:line="276" w:lineRule="auto"/>
        <w:jc w:val="both"/>
        <w:rPr>
          <w:rFonts w:ascii="Garamond" w:hAnsi="Garamond" w:cs="Arial"/>
          <w:sz w:val="26"/>
          <w:szCs w:val="26"/>
          <w:u w:color="000000"/>
        </w:rPr>
      </w:pPr>
      <w:r w:rsidRPr="008E2B66">
        <w:rPr>
          <w:rFonts w:ascii="Garamond" w:hAnsi="Garamond" w:cs="Arial"/>
          <w:sz w:val="26"/>
          <w:szCs w:val="26"/>
          <w:u w:color="000000"/>
        </w:rPr>
        <w:t>L’art. 1, c. 17, della legge n. 190/2012 prescrive che le stazioni appaltanti possono prevedere negli avvisi, bandi di gara o lettere di invito che il mancato rispetto delle clausole contenute nei protocolli di legalità o nei patti di integrità costituisce causa di esclusione dalla gara.</w:t>
      </w:r>
    </w:p>
    <w:p w14:paraId="70AB5952" w14:textId="3EB1401F" w:rsidR="00E55794" w:rsidRPr="008E2B66" w:rsidRDefault="000774A7" w:rsidP="00352748">
      <w:pPr>
        <w:spacing w:after="80" w:line="276" w:lineRule="auto"/>
        <w:jc w:val="both"/>
        <w:rPr>
          <w:rFonts w:ascii="Garamond" w:hAnsi="Garamond" w:cs="Arial"/>
          <w:sz w:val="26"/>
          <w:szCs w:val="26"/>
          <w:u w:color="000000"/>
        </w:rPr>
      </w:pPr>
      <w:r w:rsidRPr="008E2B66">
        <w:rPr>
          <w:rFonts w:ascii="Garamond" w:hAnsi="Garamond" w:cs="Arial"/>
          <w:sz w:val="26"/>
          <w:szCs w:val="26"/>
          <w:u w:color="000000"/>
        </w:rPr>
        <w:t>Il CREA con</w:t>
      </w:r>
      <w:r w:rsidR="00BE1527" w:rsidRPr="008E2B66">
        <w:rPr>
          <w:rFonts w:ascii="Garamond" w:hAnsi="Garamond" w:cs="Arial"/>
          <w:sz w:val="26"/>
          <w:szCs w:val="26"/>
          <w:u w:color="000000"/>
        </w:rPr>
        <w:t xml:space="preserve"> decreto del Presidente n. 61 del 29</w:t>
      </w:r>
      <w:r w:rsidR="00C36FFB">
        <w:rPr>
          <w:rFonts w:ascii="Garamond" w:hAnsi="Garamond" w:cs="Arial"/>
          <w:sz w:val="26"/>
          <w:szCs w:val="26"/>
          <w:u w:color="000000"/>
        </w:rPr>
        <w:t xml:space="preserve"> novembre </w:t>
      </w:r>
      <w:r w:rsidR="00BE1527" w:rsidRPr="008E2B66">
        <w:rPr>
          <w:rFonts w:ascii="Garamond" w:hAnsi="Garamond" w:cs="Arial"/>
          <w:sz w:val="26"/>
          <w:szCs w:val="26"/>
          <w:u w:color="000000"/>
        </w:rPr>
        <w:t>2017</w:t>
      </w:r>
      <w:r w:rsidR="00AD7BA1" w:rsidRPr="008E2B66">
        <w:rPr>
          <w:rFonts w:ascii="Garamond" w:hAnsi="Garamond" w:cs="Arial"/>
          <w:sz w:val="26"/>
          <w:szCs w:val="26"/>
          <w:u w:color="000000"/>
        </w:rPr>
        <w:t xml:space="preserve"> approva</w:t>
      </w:r>
      <w:r w:rsidRPr="008E2B66">
        <w:rPr>
          <w:rFonts w:ascii="Garamond" w:hAnsi="Garamond" w:cs="Arial"/>
          <w:sz w:val="26"/>
          <w:szCs w:val="26"/>
          <w:u w:color="000000"/>
        </w:rPr>
        <w:t>va</w:t>
      </w:r>
      <w:r w:rsidR="00AD7BA1" w:rsidRPr="008E2B66">
        <w:rPr>
          <w:rFonts w:ascii="Garamond" w:hAnsi="Garamond" w:cs="Arial"/>
          <w:sz w:val="26"/>
          <w:szCs w:val="26"/>
          <w:u w:color="000000"/>
        </w:rPr>
        <w:t xml:space="preserve"> il </w:t>
      </w:r>
      <w:r w:rsidR="00AD7BA1" w:rsidRPr="00191E56">
        <w:rPr>
          <w:rFonts w:ascii="Garamond" w:hAnsi="Garamond" w:cs="Arial"/>
          <w:i/>
          <w:iCs/>
          <w:sz w:val="26"/>
          <w:szCs w:val="26"/>
          <w:u w:color="000000"/>
        </w:rPr>
        <w:t>Patto d’Integrità</w:t>
      </w:r>
      <w:r w:rsidR="00AD7BA1" w:rsidRPr="008E2B66">
        <w:rPr>
          <w:rFonts w:ascii="Garamond" w:hAnsi="Garamond" w:cs="Arial"/>
          <w:sz w:val="26"/>
          <w:szCs w:val="26"/>
          <w:u w:color="000000"/>
        </w:rPr>
        <w:t xml:space="preserve"> e con successiva nota prot. n. 743 del 12</w:t>
      </w:r>
      <w:r w:rsidR="00C36FFB">
        <w:rPr>
          <w:rFonts w:ascii="Garamond" w:hAnsi="Garamond" w:cs="Arial"/>
          <w:sz w:val="26"/>
          <w:szCs w:val="26"/>
          <w:u w:color="000000"/>
        </w:rPr>
        <w:t xml:space="preserve"> gennaio </w:t>
      </w:r>
      <w:r w:rsidR="00AD7BA1" w:rsidRPr="008E2B66">
        <w:rPr>
          <w:rFonts w:ascii="Garamond" w:hAnsi="Garamond" w:cs="Arial"/>
          <w:sz w:val="26"/>
          <w:szCs w:val="26"/>
          <w:u w:color="000000"/>
        </w:rPr>
        <w:t xml:space="preserve">2018 </w:t>
      </w:r>
      <w:r w:rsidRPr="008E2B66">
        <w:rPr>
          <w:rFonts w:ascii="Garamond" w:hAnsi="Garamond" w:cs="Arial"/>
          <w:sz w:val="26"/>
          <w:szCs w:val="26"/>
          <w:u w:color="000000"/>
        </w:rPr>
        <w:t>del</w:t>
      </w:r>
      <w:r w:rsidR="00E415D1" w:rsidRPr="008E2B66">
        <w:rPr>
          <w:rFonts w:ascii="Garamond" w:hAnsi="Garamond" w:cs="Arial"/>
          <w:sz w:val="26"/>
          <w:szCs w:val="26"/>
          <w:u w:color="000000"/>
        </w:rPr>
        <w:t>l’Ufficio</w:t>
      </w:r>
      <w:r w:rsidR="00AD7BA1" w:rsidRPr="008E2B66">
        <w:rPr>
          <w:rFonts w:ascii="Garamond" w:hAnsi="Garamond" w:cs="Arial"/>
          <w:sz w:val="26"/>
          <w:szCs w:val="26"/>
          <w:u w:color="000000"/>
        </w:rPr>
        <w:t xml:space="preserve"> </w:t>
      </w:r>
      <w:r w:rsidR="00AD7BA1" w:rsidRPr="00C36FFB">
        <w:rPr>
          <w:rFonts w:ascii="Garamond" w:hAnsi="Garamond" w:cs="Arial"/>
          <w:i/>
          <w:iCs/>
          <w:sz w:val="26"/>
          <w:szCs w:val="26"/>
          <w:u w:color="000000"/>
        </w:rPr>
        <w:t xml:space="preserve">Gare e </w:t>
      </w:r>
      <w:r w:rsidR="00495A77" w:rsidRPr="00C36FFB">
        <w:rPr>
          <w:rFonts w:ascii="Garamond" w:hAnsi="Garamond" w:cs="Arial"/>
          <w:i/>
          <w:iCs/>
          <w:sz w:val="26"/>
          <w:szCs w:val="26"/>
          <w:u w:color="000000"/>
        </w:rPr>
        <w:t>contratti</w:t>
      </w:r>
      <w:r w:rsidR="00495A77" w:rsidRPr="008E2B66">
        <w:rPr>
          <w:rFonts w:ascii="Garamond" w:hAnsi="Garamond" w:cs="Arial"/>
          <w:sz w:val="26"/>
          <w:szCs w:val="26"/>
          <w:u w:color="000000"/>
        </w:rPr>
        <w:t xml:space="preserve"> il</w:t>
      </w:r>
      <w:r w:rsidR="00AD7BA1" w:rsidRPr="008E2B66">
        <w:rPr>
          <w:rFonts w:ascii="Garamond" w:hAnsi="Garamond" w:cs="Arial"/>
          <w:sz w:val="26"/>
          <w:szCs w:val="26"/>
          <w:u w:color="000000"/>
        </w:rPr>
        <w:t xml:space="preserve"> </w:t>
      </w:r>
      <w:r w:rsidRPr="008E2B66">
        <w:rPr>
          <w:rFonts w:ascii="Garamond" w:hAnsi="Garamond" w:cs="Arial"/>
          <w:sz w:val="26"/>
          <w:szCs w:val="26"/>
          <w:u w:color="000000"/>
        </w:rPr>
        <w:t>documento</w:t>
      </w:r>
      <w:r w:rsidR="003138BE" w:rsidRPr="008E2B66">
        <w:rPr>
          <w:rFonts w:ascii="Garamond" w:hAnsi="Garamond" w:cs="Arial"/>
          <w:sz w:val="26"/>
          <w:szCs w:val="26"/>
          <w:u w:color="000000"/>
        </w:rPr>
        <w:t xml:space="preserve"> </w:t>
      </w:r>
      <w:r w:rsidRPr="008E2B66">
        <w:rPr>
          <w:rFonts w:ascii="Garamond" w:hAnsi="Garamond" w:cs="Arial"/>
          <w:sz w:val="26"/>
          <w:szCs w:val="26"/>
          <w:u w:color="000000"/>
        </w:rPr>
        <w:t xml:space="preserve">veniva trasmesso </w:t>
      </w:r>
      <w:r w:rsidR="003138BE" w:rsidRPr="008E2B66">
        <w:rPr>
          <w:rFonts w:ascii="Garamond" w:hAnsi="Garamond" w:cs="Arial"/>
          <w:sz w:val="26"/>
          <w:szCs w:val="26"/>
          <w:u w:color="000000"/>
        </w:rPr>
        <w:t>ai Centri</w:t>
      </w:r>
      <w:r w:rsidR="00AD7BA1" w:rsidRPr="008E2B66">
        <w:rPr>
          <w:rFonts w:ascii="Garamond" w:hAnsi="Garamond" w:cs="Arial"/>
          <w:sz w:val="26"/>
          <w:szCs w:val="26"/>
          <w:u w:color="000000"/>
        </w:rPr>
        <w:t xml:space="preserve"> </w:t>
      </w:r>
      <w:r w:rsidRPr="008E2B66">
        <w:rPr>
          <w:rFonts w:ascii="Garamond" w:hAnsi="Garamond" w:cs="Arial"/>
          <w:sz w:val="26"/>
          <w:szCs w:val="26"/>
          <w:u w:color="000000"/>
        </w:rPr>
        <w:t>con l’indicazione del</w:t>
      </w:r>
      <w:r w:rsidR="00E55794" w:rsidRPr="008E2B66">
        <w:rPr>
          <w:rFonts w:ascii="Garamond" w:hAnsi="Garamond" w:cs="Arial"/>
          <w:sz w:val="26"/>
          <w:szCs w:val="26"/>
          <w:u w:color="000000"/>
        </w:rPr>
        <w:t xml:space="preserve"> suo </w:t>
      </w:r>
      <w:r w:rsidRPr="008E2B66">
        <w:rPr>
          <w:rFonts w:ascii="Garamond" w:hAnsi="Garamond" w:cs="Arial"/>
          <w:sz w:val="26"/>
          <w:szCs w:val="26"/>
          <w:u w:color="000000"/>
        </w:rPr>
        <w:t xml:space="preserve">inserimento </w:t>
      </w:r>
      <w:r w:rsidR="00E55794" w:rsidRPr="008E2B66">
        <w:rPr>
          <w:rFonts w:ascii="Garamond" w:hAnsi="Garamond" w:cs="Arial"/>
          <w:sz w:val="26"/>
          <w:szCs w:val="26"/>
          <w:u w:color="000000"/>
        </w:rPr>
        <w:t xml:space="preserve">obbligatorio </w:t>
      </w:r>
      <w:r w:rsidR="00AD7BA1" w:rsidRPr="008E2B66">
        <w:rPr>
          <w:rFonts w:ascii="Garamond" w:hAnsi="Garamond" w:cs="Arial"/>
          <w:sz w:val="26"/>
          <w:szCs w:val="26"/>
          <w:u w:color="000000"/>
        </w:rPr>
        <w:t>negli avvisi, bandi, lettere di invito</w:t>
      </w:r>
      <w:r w:rsidR="00DD2458" w:rsidRPr="008E2B66">
        <w:rPr>
          <w:rFonts w:ascii="Garamond" w:hAnsi="Garamond" w:cs="Arial"/>
          <w:sz w:val="26"/>
          <w:szCs w:val="26"/>
          <w:u w:color="000000"/>
        </w:rPr>
        <w:t>,</w:t>
      </w:r>
      <w:r w:rsidR="00AD7BA1" w:rsidRPr="008E2B66">
        <w:rPr>
          <w:rFonts w:ascii="Garamond" w:hAnsi="Garamond" w:cs="Arial"/>
          <w:sz w:val="26"/>
          <w:szCs w:val="26"/>
          <w:u w:color="000000"/>
        </w:rPr>
        <w:t xml:space="preserve"> disciplinari e contratti per l’affidamento di lavori, servizi e forniture ovvero di concessione per qualsiasi valore dell’importo contrattuale.</w:t>
      </w:r>
      <w:r w:rsidR="000B60A5" w:rsidRPr="008E2B66">
        <w:rPr>
          <w:rFonts w:ascii="Garamond" w:hAnsi="Garamond" w:cs="Arial"/>
          <w:sz w:val="26"/>
          <w:szCs w:val="26"/>
          <w:u w:color="000000"/>
        </w:rPr>
        <w:t xml:space="preserve"> </w:t>
      </w:r>
    </w:p>
    <w:p w14:paraId="687F30EE" w14:textId="1ED7FF4F" w:rsidR="00A571D8" w:rsidRPr="008E2B66" w:rsidRDefault="0080648E" w:rsidP="00352748">
      <w:pPr>
        <w:spacing w:after="80" w:line="276" w:lineRule="auto"/>
        <w:jc w:val="both"/>
        <w:rPr>
          <w:rFonts w:ascii="Garamond" w:hAnsi="Garamond" w:cs="Arial"/>
          <w:sz w:val="26"/>
          <w:szCs w:val="26"/>
          <w:u w:color="000000"/>
        </w:rPr>
      </w:pPr>
      <w:r w:rsidRPr="008E2B66">
        <w:rPr>
          <w:rFonts w:ascii="Garamond" w:hAnsi="Garamond" w:cs="Arial"/>
          <w:sz w:val="26"/>
          <w:szCs w:val="26"/>
          <w:u w:color="000000"/>
        </w:rPr>
        <w:t xml:space="preserve">Nel corso del 2024 </w:t>
      </w:r>
      <w:r w:rsidRPr="008E2B66">
        <w:rPr>
          <w:rFonts w:ascii="Garamond" w:eastAsiaTheme="minorHAnsi" w:hAnsi="Garamond" w:cs="Arial"/>
          <w:sz w:val="26"/>
          <w:szCs w:val="26"/>
        </w:rPr>
        <w:t>è continuato il monitoraggio della misura</w:t>
      </w:r>
      <w:r w:rsidR="00E65AE0" w:rsidRPr="008E2B66">
        <w:rPr>
          <w:rFonts w:ascii="Garamond" w:eastAsiaTheme="minorHAnsi" w:hAnsi="Garamond" w:cs="Arial"/>
          <w:color w:val="FF0000"/>
          <w:sz w:val="26"/>
          <w:szCs w:val="26"/>
        </w:rPr>
        <w:t xml:space="preserve"> </w:t>
      </w:r>
      <w:r w:rsidR="00E55794" w:rsidRPr="008E2B66">
        <w:rPr>
          <w:rFonts w:ascii="Garamond" w:eastAsiaTheme="minorHAnsi" w:hAnsi="Garamond" w:cs="Arial"/>
          <w:sz w:val="26"/>
          <w:szCs w:val="26"/>
        </w:rPr>
        <w:t xml:space="preserve">da cui è emersa la sua attuazione </w:t>
      </w:r>
      <w:r w:rsidR="00851493" w:rsidRPr="008E2B66">
        <w:rPr>
          <w:rFonts w:ascii="Garamond" w:hAnsi="Garamond" w:cs="Arial"/>
          <w:sz w:val="26"/>
          <w:szCs w:val="26"/>
          <w:u w:color="000000"/>
        </w:rPr>
        <w:t xml:space="preserve">sia </w:t>
      </w:r>
      <w:r w:rsidR="00E55794" w:rsidRPr="008E2B66">
        <w:rPr>
          <w:rFonts w:ascii="Garamond" w:hAnsi="Garamond" w:cs="Arial"/>
          <w:sz w:val="26"/>
          <w:szCs w:val="26"/>
          <w:u w:color="000000"/>
        </w:rPr>
        <w:t>a cura dell’</w:t>
      </w:r>
      <w:r w:rsidR="00851493" w:rsidRPr="008E2B66">
        <w:rPr>
          <w:rFonts w:ascii="Garamond" w:hAnsi="Garamond" w:cs="Arial"/>
          <w:sz w:val="26"/>
          <w:szCs w:val="26"/>
          <w:u w:color="000000"/>
        </w:rPr>
        <w:t>Ufficio</w:t>
      </w:r>
      <w:r w:rsidR="009C5191" w:rsidRPr="008E2B66">
        <w:rPr>
          <w:rFonts w:ascii="Garamond" w:hAnsi="Garamond" w:cs="Arial"/>
          <w:sz w:val="26"/>
          <w:szCs w:val="26"/>
          <w:u w:color="000000"/>
        </w:rPr>
        <w:t xml:space="preserve"> </w:t>
      </w:r>
      <w:r w:rsidR="00B9633E" w:rsidRPr="00C36FFB">
        <w:rPr>
          <w:rFonts w:ascii="Garamond" w:hAnsi="Garamond" w:cs="Arial"/>
          <w:i/>
          <w:iCs/>
          <w:sz w:val="26"/>
          <w:szCs w:val="26"/>
          <w:u w:color="000000"/>
        </w:rPr>
        <w:t>N</w:t>
      </w:r>
      <w:r w:rsidR="009C5191" w:rsidRPr="00C36FFB">
        <w:rPr>
          <w:rFonts w:ascii="Garamond" w:hAnsi="Garamond" w:cs="Arial"/>
          <w:i/>
          <w:iCs/>
          <w:sz w:val="26"/>
          <w:szCs w:val="26"/>
          <w:u w:color="000000"/>
        </w:rPr>
        <w:t>egozial</w:t>
      </w:r>
      <w:r w:rsidR="00C36FFB" w:rsidRPr="00C36FFB">
        <w:rPr>
          <w:rFonts w:ascii="Garamond" w:hAnsi="Garamond" w:cs="Arial"/>
          <w:i/>
          <w:iCs/>
          <w:sz w:val="26"/>
          <w:szCs w:val="26"/>
          <w:u w:color="000000"/>
        </w:rPr>
        <w:t xml:space="preserve">e </w:t>
      </w:r>
      <w:r w:rsidR="00851493" w:rsidRPr="00C36FFB">
        <w:rPr>
          <w:rFonts w:ascii="Garamond" w:hAnsi="Garamond" w:cs="Arial"/>
          <w:i/>
          <w:iCs/>
          <w:sz w:val="26"/>
          <w:szCs w:val="26"/>
          <w:u w:color="000000"/>
        </w:rPr>
        <w:t xml:space="preserve">USC5 </w:t>
      </w:r>
      <w:r w:rsidR="00851493" w:rsidRPr="008E2B66">
        <w:rPr>
          <w:rFonts w:ascii="Garamond" w:hAnsi="Garamond" w:cs="Arial"/>
          <w:sz w:val="26"/>
          <w:szCs w:val="26"/>
          <w:u w:color="000000"/>
        </w:rPr>
        <w:t>che d</w:t>
      </w:r>
      <w:r w:rsidR="00E55794" w:rsidRPr="008E2B66">
        <w:rPr>
          <w:rFonts w:ascii="Garamond" w:hAnsi="Garamond" w:cs="Arial"/>
          <w:sz w:val="26"/>
          <w:szCs w:val="26"/>
          <w:u w:color="000000"/>
        </w:rPr>
        <w:t>e</w:t>
      </w:r>
      <w:r w:rsidR="00851493" w:rsidRPr="008E2B66">
        <w:rPr>
          <w:rFonts w:ascii="Garamond" w:hAnsi="Garamond" w:cs="Arial"/>
          <w:sz w:val="26"/>
          <w:szCs w:val="26"/>
          <w:u w:color="000000"/>
        </w:rPr>
        <w:t>i Centri</w:t>
      </w:r>
      <w:r w:rsidR="00C36FFB">
        <w:rPr>
          <w:rFonts w:ascii="Garamond" w:hAnsi="Garamond" w:cs="Arial"/>
          <w:sz w:val="26"/>
          <w:szCs w:val="26"/>
          <w:u w:color="000000"/>
        </w:rPr>
        <w:t xml:space="preserve"> di ricerca.</w:t>
      </w:r>
    </w:p>
    <w:p w14:paraId="1E2A15E2" w14:textId="06FC5E90" w:rsidR="00A571D8" w:rsidRPr="008E2B66" w:rsidRDefault="00A571D8" w:rsidP="00352748">
      <w:pPr>
        <w:spacing w:after="80" w:line="276" w:lineRule="auto"/>
        <w:jc w:val="both"/>
        <w:rPr>
          <w:rFonts w:ascii="Garamond" w:hAnsi="Garamond" w:cs="Arial"/>
          <w:sz w:val="26"/>
          <w:szCs w:val="26"/>
          <w:u w:color="000000"/>
        </w:rPr>
      </w:pPr>
      <w:r w:rsidRPr="008E2B66">
        <w:rPr>
          <w:rFonts w:ascii="Garamond" w:eastAsiaTheme="minorHAnsi" w:hAnsi="Garamond" w:cs="Arial"/>
          <w:sz w:val="26"/>
          <w:szCs w:val="26"/>
        </w:rPr>
        <w:t xml:space="preserve">Nella </w:t>
      </w:r>
      <w:r w:rsidRPr="00C36FFB">
        <w:rPr>
          <w:rFonts w:ascii="Garamond" w:eastAsiaTheme="minorHAnsi" w:hAnsi="Garamond" w:cs="Arial"/>
          <w:i/>
          <w:iCs/>
          <w:sz w:val="26"/>
          <w:szCs w:val="26"/>
        </w:rPr>
        <w:t>parte generale</w:t>
      </w:r>
      <w:r w:rsidRPr="008E2B66">
        <w:rPr>
          <w:rFonts w:ascii="Garamond" w:eastAsiaTheme="minorHAnsi" w:hAnsi="Garamond" w:cs="Arial"/>
          <w:sz w:val="26"/>
          <w:szCs w:val="26"/>
        </w:rPr>
        <w:t xml:space="preserve"> del PNA 2022</w:t>
      </w:r>
      <w:r w:rsidR="00723670" w:rsidRPr="008E2B66">
        <w:rPr>
          <w:rFonts w:ascii="Garamond" w:eastAsiaTheme="minorHAnsi" w:hAnsi="Garamond" w:cs="Arial"/>
          <w:sz w:val="26"/>
          <w:szCs w:val="26"/>
        </w:rPr>
        <w:t>,</w:t>
      </w:r>
      <w:r w:rsidRPr="008E2B66">
        <w:rPr>
          <w:rFonts w:ascii="Garamond" w:eastAsiaTheme="minorHAnsi" w:hAnsi="Garamond" w:cs="Arial"/>
          <w:sz w:val="26"/>
          <w:szCs w:val="26"/>
        </w:rPr>
        <w:t xml:space="preserve"> dedicata ai Contratti </w:t>
      </w:r>
      <w:r w:rsidR="00A51832" w:rsidRPr="008E2B66">
        <w:rPr>
          <w:rFonts w:ascii="Garamond" w:eastAsiaTheme="minorHAnsi" w:hAnsi="Garamond" w:cs="Arial"/>
          <w:sz w:val="26"/>
          <w:szCs w:val="26"/>
        </w:rPr>
        <w:t>pubblici</w:t>
      </w:r>
      <w:r w:rsidR="00723670" w:rsidRPr="008E2B66">
        <w:rPr>
          <w:rFonts w:ascii="Garamond" w:eastAsiaTheme="minorHAnsi" w:hAnsi="Garamond" w:cs="Arial"/>
          <w:sz w:val="26"/>
          <w:szCs w:val="26"/>
        </w:rPr>
        <w:t>,</w:t>
      </w:r>
      <w:r w:rsidR="00A51832" w:rsidRPr="008E2B66">
        <w:rPr>
          <w:rFonts w:ascii="Garamond" w:eastAsiaTheme="minorHAnsi" w:hAnsi="Garamond" w:cs="Arial"/>
          <w:sz w:val="26"/>
          <w:szCs w:val="26"/>
        </w:rPr>
        <w:t xml:space="preserve"> l’ANAC</w:t>
      </w:r>
      <w:r w:rsidR="008C71B4" w:rsidRPr="008E2B66">
        <w:rPr>
          <w:rFonts w:ascii="Garamond" w:eastAsiaTheme="minorHAnsi" w:hAnsi="Garamond" w:cs="Arial"/>
          <w:sz w:val="26"/>
          <w:szCs w:val="26"/>
        </w:rPr>
        <w:t xml:space="preserve"> </w:t>
      </w:r>
      <w:r w:rsidR="00723670" w:rsidRPr="008E2B66">
        <w:rPr>
          <w:rFonts w:ascii="Garamond" w:eastAsiaTheme="minorHAnsi" w:hAnsi="Garamond" w:cs="Arial"/>
          <w:sz w:val="26"/>
          <w:szCs w:val="26"/>
        </w:rPr>
        <w:t xml:space="preserve">ha </w:t>
      </w:r>
      <w:r w:rsidR="008C71B4" w:rsidRPr="008E2B66">
        <w:rPr>
          <w:rFonts w:ascii="Garamond" w:eastAsiaTheme="minorHAnsi" w:hAnsi="Garamond" w:cs="Arial"/>
          <w:sz w:val="26"/>
          <w:szCs w:val="26"/>
        </w:rPr>
        <w:t>suggeri</w:t>
      </w:r>
      <w:r w:rsidR="00723670" w:rsidRPr="008E2B66">
        <w:rPr>
          <w:rFonts w:ascii="Garamond" w:eastAsiaTheme="minorHAnsi" w:hAnsi="Garamond" w:cs="Arial"/>
          <w:sz w:val="26"/>
          <w:szCs w:val="26"/>
        </w:rPr>
        <w:t>to</w:t>
      </w:r>
      <w:r w:rsidR="008C71B4" w:rsidRPr="008E2B66">
        <w:rPr>
          <w:rFonts w:ascii="Garamond" w:eastAsiaTheme="minorHAnsi" w:hAnsi="Garamond" w:cs="Arial"/>
          <w:sz w:val="26"/>
          <w:szCs w:val="26"/>
        </w:rPr>
        <w:t xml:space="preserve"> </w:t>
      </w:r>
      <w:r w:rsidRPr="008E2B66">
        <w:rPr>
          <w:rFonts w:ascii="Garamond" w:eastAsiaTheme="minorHAnsi" w:hAnsi="Garamond" w:cs="Arial"/>
          <w:sz w:val="26"/>
          <w:szCs w:val="26"/>
        </w:rPr>
        <w:t xml:space="preserve">alle </w:t>
      </w:r>
      <w:r w:rsidR="00C36FFB">
        <w:rPr>
          <w:rFonts w:ascii="Garamond" w:eastAsiaTheme="minorHAnsi" w:hAnsi="Garamond" w:cs="Arial"/>
          <w:sz w:val="26"/>
          <w:szCs w:val="26"/>
        </w:rPr>
        <w:t>a</w:t>
      </w:r>
      <w:r w:rsidRPr="008E2B66">
        <w:rPr>
          <w:rFonts w:ascii="Garamond" w:eastAsiaTheme="minorHAnsi" w:hAnsi="Garamond" w:cs="Arial"/>
          <w:sz w:val="26"/>
          <w:szCs w:val="26"/>
        </w:rPr>
        <w:t>mministrazioni di effettuare un</w:t>
      </w:r>
      <w:r w:rsidRPr="008E2B66">
        <w:rPr>
          <w:rFonts w:ascii="Garamond" w:hAnsi="Garamond" w:cs="Arial"/>
          <w:sz w:val="26"/>
          <w:szCs w:val="26"/>
          <w:u w:color="000000"/>
        </w:rPr>
        <w:t xml:space="preserve"> </w:t>
      </w:r>
      <w:r w:rsidRPr="008E2B66">
        <w:rPr>
          <w:rFonts w:ascii="Garamond" w:eastAsiaTheme="minorHAnsi" w:hAnsi="Garamond" w:cs="Arial"/>
          <w:sz w:val="26"/>
          <w:szCs w:val="26"/>
        </w:rPr>
        <w:t>aggiornamento dei Patti di integrità con l’inserimento di talune</w:t>
      </w:r>
      <w:r w:rsidRPr="008E2B66">
        <w:rPr>
          <w:rFonts w:ascii="Garamond" w:hAnsi="Garamond" w:cs="Arial"/>
          <w:sz w:val="26"/>
          <w:szCs w:val="26"/>
          <w:u w:color="000000"/>
        </w:rPr>
        <w:t xml:space="preserve"> </w:t>
      </w:r>
      <w:r w:rsidR="005C66B9" w:rsidRPr="008E2B66">
        <w:rPr>
          <w:rFonts w:ascii="Garamond" w:eastAsiaTheme="minorHAnsi" w:hAnsi="Garamond" w:cs="Arial"/>
          <w:sz w:val="26"/>
          <w:szCs w:val="26"/>
        </w:rPr>
        <w:t>previsioni</w:t>
      </w:r>
      <w:r w:rsidR="00C36FFB">
        <w:rPr>
          <w:rFonts w:ascii="Garamond" w:eastAsiaTheme="minorHAnsi" w:hAnsi="Garamond" w:cs="Arial"/>
          <w:sz w:val="26"/>
          <w:szCs w:val="26"/>
        </w:rPr>
        <w:t xml:space="preserve">, </w:t>
      </w:r>
      <w:r w:rsidR="00221E48" w:rsidRPr="008E2B66">
        <w:rPr>
          <w:rFonts w:ascii="Garamond" w:eastAsiaTheme="minorHAnsi" w:hAnsi="Garamond" w:cs="Arial"/>
          <w:sz w:val="26"/>
          <w:szCs w:val="26"/>
        </w:rPr>
        <w:t xml:space="preserve">alcune delle quali </w:t>
      </w:r>
      <w:r w:rsidR="005C66B9" w:rsidRPr="008E2B66">
        <w:rPr>
          <w:rFonts w:ascii="Garamond" w:eastAsiaTheme="minorHAnsi" w:hAnsi="Garamond" w:cs="Arial"/>
          <w:sz w:val="26"/>
          <w:szCs w:val="26"/>
        </w:rPr>
        <w:t>volte</w:t>
      </w:r>
      <w:r w:rsidRPr="008E2B66">
        <w:rPr>
          <w:rFonts w:ascii="Garamond" w:eastAsiaTheme="minorHAnsi" w:hAnsi="Garamond" w:cs="Arial"/>
          <w:sz w:val="26"/>
          <w:szCs w:val="26"/>
        </w:rPr>
        <w:t xml:space="preserve"> a prevenire potenziali conflitti di interesse </w:t>
      </w:r>
      <w:r w:rsidR="00771D7D" w:rsidRPr="008E2B66">
        <w:rPr>
          <w:rFonts w:ascii="Garamond" w:eastAsiaTheme="minorHAnsi" w:hAnsi="Garamond" w:cs="Arial"/>
          <w:sz w:val="26"/>
          <w:szCs w:val="26"/>
        </w:rPr>
        <w:t>come</w:t>
      </w:r>
      <w:r w:rsidRPr="008E2B66">
        <w:rPr>
          <w:rFonts w:ascii="Garamond" w:eastAsiaTheme="minorHAnsi" w:hAnsi="Garamond" w:cs="Arial"/>
          <w:sz w:val="26"/>
          <w:szCs w:val="26"/>
        </w:rPr>
        <w:t xml:space="preserve"> ad esempio</w:t>
      </w:r>
      <w:r w:rsidR="005C66B9" w:rsidRPr="008E2B66">
        <w:rPr>
          <w:rFonts w:ascii="Garamond" w:eastAsiaTheme="minorHAnsi" w:hAnsi="Garamond" w:cs="Arial"/>
          <w:sz w:val="26"/>
          <w:szCs w:val="26"/>
        </w:rPr>
        <w:t>:</w:t>
      </w:r>
    </w:p>
    <w:p w14:paraId="6F18D7A6" w14:textId="3961EE35" w:rsidR="00A571D8" w:rsidRPr="008E2B66" w:rsidRDefault="00A571D8" w:rsidP="00352748">
      <w:pPr>
        <w:autoSpaceDE w:val="0"/>
        <w:autoSpaceDN w:val="0"/>
        <w:adjustRightInd w:val="0"/>
        <w:spacing w:after="80" w:line="276" w:lineRule="auto"/>
        <w:jc w:val="both"/>
        <w:rPr>
          <w:rFonts w:ascii="Garamond" w:eastAsiaTheme="minorHAnsi" w:hAnsi="Garamond" w:cs="Arial"/>
          <w:sz w:val="26"/>
          <w:szCs w:val="26"/>
        </w:rPr>
      </w:pPr>
      <w:r w:rsidRPr="008E2B66">
        <w:rPr>
          <w:rFonts w:ascii="Garamond" w:eastAsiaTheme="minorHAnsi" w:hAnsi="Garamond" w:cs="Arial"/>
          <w:sz w:val="26"/>
          <w:szCs w:val="26"/>
        </w:rPr>
        <w:t>• l’inserimento di specifiche prescrizioni a carico dei concorrenti e dei soggetti affidatari, ai quali si richiede la preventiva dichiarazione della insussistenza di rapporti di parentela o di familiarità con i soggetti che hanno partecipato alla definizione della procedura di gara e la comunicazione di qualsiasi conflitto di interessi che insorga successivamente</w:t>
      </w:r>
      <w:r w:rsidR="00C36FFB">
        <w:rPr>
          <w:rFonts w:ascii="Garamond" w:eastAsiaTheme="minorHAnsi" w:hAnsi="Garamond" w:cs="Arial"/>
          <w:sz w:val="26"/>
          <w:szCs w:val="26"/>
        </w:rPr>
        <w:t>;</w:t>
      </w:r>
    </w:p>
    <w:p w14:paraId="215657DA" w14:textId="7A2C7BA2" w:rsidR="008C71B4" w:rsidRPr="008E2B66" w:rsidRDefault="00A571D8" w:rsidP="00352748">
      <w:pPr>
        <w:autoSpaceDE w:val="0"/>
        <w:autoSpaceDN w:val="0"/>
        <w:adjustRightInd w:val="0"/>
        <w:spacing w:after="80" w:line="276" w:lineRule="auto"/>
        <w:jc w:val="both"/>
        <w:rPr>
          <w:rFonts w:ascii="Garamond" w:eastAsiaTheme="minorHAnsi" w:hAnsi="Garamond" w:cs="Arial"/>
          <w:sz w:val="26"/>
          <w:szCs w:val="26"/>
        </w:rPr>
      </w:pPr>
      <w:r w:rsidRPr="008E2B66">
        <w:rPr>
          <w:rFonts w:ascii="Garamond" w:eastAsiaTheme="minorHAnsi" w:hAnsi="Garamond" w:cs="Arial"/>
          <w:sz w:val="26"/>
          <w:szCs w:val="26"/>
        </w:rPr>
        <w:t>• la previsione di sanzioni a carico dell’operatore economico, sia in veste di concorrente che di a</w:t>
      </w:r>
      <w:r w:rsidR="00C36FFB">
        <w:rPr>
          <w:rFonts w:ascii="Garamond" w:eastAsiaTheme="minorHAnsi" w:hAnsi="Garamond" w:cs="Arial"/>
          <w:sz w:val="26"/>
          <w:szCs w:val="26"/>
        </w:rPr>
        <w:t>ffidatario</w:t>
      </w:r>
      <w:r w:rsidRPr="008E2B66">
        <w:rPr>
          <w:rFonts w:ascii="Garamond" w:eastAsiaTheme="minorHAnsi" w:hAnsi="Garamond" w:cs="Arial"/>
          <w:sz w:val="26"/>
          <w:szCs w:val="26"/>
        </w:rPr>
        <w:t>, nel caso di violazione degli impegni sottoscritti, secondo la gravità della violazione accertata e la fase in cui la violazione è posta in essere, nel rispetto del principio di proporzionalità.</w:t>
      </w:r>
    </w:p>
    <w:p w14:paraId="584FC6C5" w14:textId="71A4B034" w:rsidR="00A571D8" w:rsidRPr="008E2B66" w:rsidRDefault="00A571D8" w:rsidP="00352748">
      <w:pPr>
        <w:autoSpaceDE w:val="0"/>
        <w:autoSpaceDN w:val="0"/>
        <w:adjustRightInd w:val="0"/>
        <w:spacing w:after="80" w:line="276" w:lineRule="auto"/>
        <w:jc w:val="both"/>
        <w:rPr>
          <w:rFonts w:ascii="Garamond" w:eastAsiaTheme="minorHAnsi" w:hAnsi="Garamond" w:cs="Arial"/>
          <w:sz w:val="26"/>
          <w:szCs w:val="26"/>
        </w:rPr>
      </w:pPr>
      <w:r w:rsidRPr="008E2B66">
        <w:rPr>
          <w:rFonts w:ascii="Garamond" w:eastAsiaTheme="minorHAnsi" w:hAnsi="Garamond" w:cs="Arial"/>
          <w:sz w:val="26"/>
          <w:szCs w:val="26"/>
        </w:rPr>
        <w:lastRenderedPageBreak/>
        <w:t xml:space="preserve">Sempre nel PNA 2022, inoltre, l’ANAC </w:t>
      </w:r>
      <w:r w:rsidR="00E55794" w:rsidRPr="008E2B66">
        <w:rPr>
          <w:rFonts w:ascii="Garamond" w:eastAsiaTheme="minorHAnsi" w:hAnsi="Garamond" w:cs="Arial"/>
          <w:sz w:val="26"/>
          <w:szCs w:val="26"/>
        </w:rPr>
        <w:t xml:space="preserve">ha </w:t>
      </w:r>
      <w:r w:rsidRPr="008E2B66">
        <w:rPr>
          <w:rFonts w:ascii="Garamond" w:eastAsiaTheme="minorHAnsi" w:hAnsi="Garamond" w:cs="Arial"/>
          <w:sz w:val="26"/>
          <w:szCs w:val="26"/>
        </w:rPr>
        <w:t>raccomanda</w:t>
      </w:r>
      <w:r w:rsidR="00E55794" w:rsidRPr="008E2B66">
        <w:rPr>
          <w:rFonts w:ascii="Garamond" w:eastAsiaTheme="minorHAnsi" w:hAnsi="Garamond" w:cs="Arial"/>
          <w:sz w:val="26"/>
          <w:szCs w:val="26"/>
        </w:rPr>
        <w:t>to</w:t>
      </w:r>
      <w:r w:rsidRPr="008E2B66">
        <w:rPr>
          <w:rFonts w:ascii="Garamond" w:eastAsiaTheme="minorHAnsi" w:hAnsi="Garamond" w:cs="Arial"/>
          <w:sz w:val="26"/>
          <w:szCs w:val="26"/>
        </w:rPr>
        <w:t xml:space="preserve"> alle amministrazioni di adottare misure adeguate volte a prevenire il fenomeno del </w:t>
      </w:r>
      <w:r w:rsidRPr="008E2B66">
        <w:rPr>
          <w:rFonts w:ascii="Garamond" w:eastAsiaTheme="minorHAnsi" w:hAnsi="Garamond" w:cs="Arial"/>
          <w:i/>
          <w:iCs/>
          <w:sz w:val="26"/>
          <w:szCs w:val="26"/>
        </w:rPr>
        <w:t>pantouflage</w:t>
      </w:r>
      <w:r w:rsidRPr="008E2B66">
        <w:rPr>
          <w:rFonts w:ascii="Garamond" w:eastAsiaTheme="minorHAnsi" w:hAnsi="Garamond" w:cs="Arial"/>
          <w:sz w:val="26"/>
          <w:szCs w:val="26"/>
        </w:rPr>
        <w:t xml:space="preserve"> e </w:t>
      </w:r>
      <w:r w:rsidR="00E55794" w:rsidRPr="008E2B66">
        <w:rPr>
          <w:rFonts w:ascii="Garamond" w:eastAsiaTheme="minorHAnsi" w:hAnsi="Garamond" w:cs="Arial"/>
          <w:sz w:val="26"/>
          <w:szCs w:val="26"/>
        </w:rPr>
        <w:t xml:space="preserve">ha </w:t>
      </w:r>
      <w:r w:rsidR="009C5191" w:rsidRPr="008E2B66">
        <w:rPr>
          <w:rFonts w:ascii="Garamond" w:eastAsiaTheme="minorHAnsi" w:hAnsi="Garamond" w:cs="Arial"/>
          <w:sz w:val="26"/>
          <w:szCs w:val="26"/>
        </w:rPr>
        <w:t>indicato tra</w:t>
      </w:r>
      <w:r w:rsidRPr="008E2B66">
        <w:rPr>
          <w:rFonts w:ascii="Garamond" w:eastAsiaTheme="minorHAnsi" w:hAnsi="Garamond" w:cs="Arial"/>
          <w:sz w:val="26"/>
          <w:szCs w:val="26"/>
        </w:rPr>
        <w:t xml:space="preserve"> le misure di prevenzione l’inserimento di apposita clausola nel patto di integrità sottoscritto dai partecipanti alle gare. </w:t>
      </w:r>
    </w:p>
    <w:p w14:paraId="2E0A32E8" w14:textId="0F1A4919" w:rsidR="00A571D8" w:rsidRPr="008E2B66" w:rsidRDefault="001665F8" w:rsidP="00352748">
      <w:pPr>
        <w:spacing w:after="80" w:line="276" w:lineRule="auto"/>
        <w:jc w:val="both"/>
        <w:rPr>
          <w:rFonts w:ascii="Garamond" w:hAnsi="Garamond" w:cs="Arial"/>
          <w:sz w:val="26"/>
          <w:szCs w:val="26"/>
          <w:u w:color="000000"/>
        </w:rPr>
      </w:pPr>
      <w:r w:rsidRPr="00875CF3">
        <w:rPr>
          <w:rFonts w:ascii="Garamond" w:hAnsi="Garamond" w:cs="Arial"/>
          <w:sz w:val="26"/>
          <w:szCs w:val="26"/>
          <w:u w:color="000000"/>
        </w:rPr>
        <w:t>L’</w:t>
      </w:r>
      <w:r w:rsidR="00875CF3" w:rsidRPr="00875CF3">
        <w:rPr>
          <w:rFonts w:ascii="Garamond" w:hAnsi="Garamond" w:cs="Arial"/>
          <w:i/>
          <w:iCs/>
          <w:sz w:val="26"/>
          <w:szCs w:val="26"/>
          <w:u w:color="000000"/>
        </w:rPr>
        <w:t>Ufficio Negoziale</w:t>
      </w:r>
      <w:r w:rsidR="00AC3878" w:rsidRPr="00875CF3">
        <w:rPr>
          <w:rFonts w:ascii="Garamond" w:hAnsi="Garamond" w:cs="Arial"/>
          <w:sz w:val="26"/>
          <w:szCs w:val="26"/>
          <w:u w:color="000000"/>
        </w:rPr>
        <w:t>,</w:t>
      </w:r>
      <w:r w:rsidR="00753928" w:rsidRPr="00875CF3">
        <w:rPr>
          <w:rFonts w:ascii="Garamond" w:hAnsi="Garamond" w:cs="Arial"/>
          <w:sz w:val="26"/>
          <w:szCs w:val="26"/>
          <w:u w:color="000000"/>
        </w:rPr>
        <w:t xml:space="preserve"> come </w:t>
      </w:r>
      <w:r w:rsidRPr="00875CF3">
        <w:rPr>
          <w:rFonts w:ascii="Garamond" w:hAnsi="Garamond" w:cs="Arial"/>
          <w:sz w:val="26"/>
          <w:szCs w:val="26"/>
          <w:u w:color="000000"/>
        </w:rPr>
        <w:t xml:space="preserve">già </w:t>
      </w:r>
      <w:r w:rsidR="00753928" w:rsidRPr="00875CF3">
        <w:rPr>
          <w:rFonts w:ascii="Garamond" w:hAnsi="Garamond" w:cs="Arial"/>
          <w:sz w:val="26"/>
          <w:szCs w:val="26"/>
          <w:u w:color="000000"/>
        </w:rPr>
        <w:t>programmato</w:t>
      </w:r>
      <w:r w:rsidR="00AC3878" w:rsidRPr="00875CF3">
        <w:rPr>
          <w:rFonts w:ascii="Garamond" w:hAnsi="Garamond" w:cs="Arial"/>
          <w:sz w:val="26"/>
          <w:szCs w:val="26"/>
          <w:u w:color="000000"/>
        </w:rPr>
        <w:t xml:space="preserve"> e in conformità alle indicazioni del PNA 202</w:t>
      </w:r>
      <w:r w:rsidR="005D15CB" w:rsidRPr="00875CF3">
        <w:rPr>
          <w:rFonts w:ascii="Garamond" w:hAnsi="Garamond" w:cs="Arial"/>
          <w:sz w:val="26"/>
          <w:szCs w:val="26"/>
          <w:u w:color="000000"/>
        </w:rPr>
        <w:t>2</w:t>
      </w:r>
      <w:r w:rsidR="00753928" w:rsidRPr="00875CF3">
        <w:rPr>
          <w:rFonts w:ascii="Garamond" w:hAnsi="Garamond" w:cs="Arial"/>
          <w:sz w:val="26"/>
          <w:szCs w:val="26"/>
          <w:u w:color="000000"/>
        </w:rPr>
        <w:t xml:space="preserve">, ha </w:t>
      </w:r>
      <w:r w:rsidR="00915EAD" w:rsidRPr="00875CF3">
        <w:rPr>
          <w:rFonts w:ascii="Garamond" w:hAnsi="Garamond" w:cs="Arial"/>
          <w:sz w:val="26"/>
          <w:szCs w:val="26"/>
          <w:u w:color="000000"/>
        </w:rPr>
        <w:t>aggiornato</w:t>
      </w:r>
      <w:r w:rsidR="00753928" w:rsidRPr="00875CF3">
        <w:rPr>
          <w:rFonts w:ascii="Garamond" w:hAnsi="Garamond" w:cs="Arial"/>
          <w:sz w:val="26"/>
          <w:szCs w:val="26"/>
          <w:u w:color="000000"/>
        </w:rPr>
        <w:t xml:space="preserve"> nel corso del 2025</w:t>
      </w:r>
      <w:r w:rsidR="005D15CB" w:rsidRPr="00875CF3">
        <w:rPr>
          <w:rFonts w:ascii="Garamond" w:hAnsi="Garamond" w:cs="Arial"/>
          <w:sz w:val="26"/>
          <w:szCs w:val="26"/>
          <w:u w:color="000000"/>
        </w:rPr>
        <w:t>,</w:t>
      </w:r>
      <w:r w:rsidR="00753928" w:rsidRPr="00875CF3">
        <w:rPr>
          <w:rFonts w:ascii="Garamond" w:hAnsi="Garamond" w:cs="Arial"/>
          <w:sz w:val="26"/>
          <w:szCs w:val="26"/>
          <w:u w:color="000000"/>
        </w:rPr>
        <w:t xml:space="preserve"> </w:t>
      </w:r>
      <w:r w:rsidR="00875CF3" w:rsidRPr="00875CF3">
        <w:rPr>
          <w:rFonts w:ascii="Garamond" w:hAnsi="Garamond" w:cs="Arial"/>
          <w:sz w:val="26"/>
          <w:szCs w:val="26"/>
          <w:u w:color="000000"/>
        </w:rPr>
        <w:t xml:space="preserve">il </w:t>
      </w:r>
      <w:r w:rsidR="00B92605" w:rsidRPr="00875CF3">
        <w:rPr>
          <w:rFonts w:ascii="Garamond" w:hAnsi="Garamond" w:cs="Arial"/>
          <w:i/>
          <w:iCs/>
          <w:sz w:val="26"/>
          <w:szCs w:val="26"/>
          <w:u w:color="000000"/>
        </w:rPr>
        <w:t>P</w:t>
      </w:r>
      <w:r w:rsidR="00915EAD" w:rsidRPr="00875CF3">
        <w:rPr>
          <w:rFonts w:ascii="Garamond" w:hAnsi="Garamond" w:cs="Arial"/>
          <w:i/>
          <w:iCs/>
          <w:sz w:val="26"/>
          <w:szCs w:val="26"/>
          <w:u w:color="000000"/>
        </w:rPr>
        <w:t>atto di integrità</w:t>
      </w:r>
      <w:r w:rsidR="00875CF3" w:rsidRPr="00875CF3">
        <w:rPr>
          <w:rFonts w:ascii="Garamond" w:hAnsi="Garamond" w:cs="Arial"/>
          <w:i/>
          <w:iCs/>
          <w:sz w:val="26"/>
          <w:szCs w:val="26"/>
          <w:u w:color="000000"/>
        </w:rPr>
        <w:t>,</w:t>
      </w:r>
      <w:r w:rsidR="005D15CB" w:rsidRPr="00875CF3">
        <w:rPr>
          <w:rFonts w:ascii="Garamond" w:hAnsi="Garamond" w:cs="Arial"/>
          <w:i/>
          <w:iCs/>
          <w:sz w:val="26"/>
          <w:szCs w:val="26"/>
          <w:u w:color="000000"/>
        </w:rPr>
        <w:t xml:space="preserve"> </w:t>
      </w:r>
      <w:r w:rsidR="00356F9B" w:rsidRPr="00875CF3">
        <w:rPr>
          <w:rFonts w:ascii="Garamond" w:hAnsi="Garamond" w:cs="Arial"/>
          <w:sz w:val="26"/>
          <w:szCs w:val="26"/>
          <w:u w:color="000000"/>
        </w:rPr>
        <w:t>approvato con delibera del Cd</w:t>
      </w:r>
      <w:r w:rsidR="00B92605" w:rsidRPr="00875CF3">
        <w:rPr>
          <w:rFonts w:ascii="Garamond" w:hAnsi="Garamond" w:cs="Arial"/>
          <w:sz w:val="26"/>
          <w:szCs w:val="26"/>
          <w:u w:color="000000"/>
        </w:rPr>
        <w:t>a</w:t>
      </w:r>
      <w:r w:rsidR="00A631E1" w:rsidRPr="00875CF3">
        <w:rPr>
          <w:rFonts w:ascii="Garamond" w:hAnsi="Garamond" w:cs="Arial"/>
          <w:sz w:val="26"/>
          <w:szCs w:val="26"/>
          <w:u w:color="000000"/>
        </w:rPr>
        <w:t xml:space="preserve"> n</w:t>
      </w:r>
      <w:r w:rsidR="00875CF3" w:rsidRPr="00875CF3">
        <w:rPr>
          <w:rFonts w:ascii="Garamond" w:hAnsi="Garamond" w:cs="Arial"/>
          <w:sz w:val="26"/>
          <w:szCs w:val="26"/>
          <w:u w:color="000000"/>
        </w:rPr>
        <w:t>.</w:t>
      </w:r>
      <w:r w:rsidR="00A631E1" w:rsidRPr="00875CF3">
        <w:rPr>
          <w:rFonts w:ascii="Garamond" w:hAnsi="Garamond" w:cs="Arial"/>
          <w:sz w:val="26"/>
          <w:szCs w:val="26"/>
          <w:u w:color="000000"/>
        </w:rPr>
        <w:t xml:space="preserve"> </w:t>
      </w:r>
      <w:r w:rsidR="000962A3" w:rsidRPr="00875CF3">
        <w:rPr>
          <w:rFonts w:ascii="Garamond" w:hAnsi="Garamond" w:cs="Arial"/>
          <w:sz w:val="26"/>
          <w:szCs w:val="26"/>
          <w:u w:color="000000"/>
        </w:rPr>
        <w:t>153 del 19 dicembre 2025.</w:t>
      </w:r>
      <w:r w:rsidR="000962A3">
        <w:rPr>
          <w:rFonts w:ascii="Garamond" w:hAnsi="Garamond" w:cs="Arial"/>
          <w:sz w:val="26"/>
          <w:szCs w:val="26"/>
          <w:u w:color="000000"/>
        </w:rPr>
        <w:t xml:space="preserve"> </w:t>
      </w:r>
    </w:p>
    <w:p w14:paraId="562A8548" w14:textId="701F0762" w:rsidR="00BF4872" w:rsidRPr="008E2B66" w:rsidRDefault="00BF4872" w:rsidP="001E79E9">
      <w:pPr>
        <w:autoSpaceDE w:val="0"/>
        <w:autoSpaceDN w:val="0"/>
        <w:adjustRightInd w:val="0"/>
        <w:spacing w:line="360" w:lineRule="auto"/>
        <w:jc w:val="both"/>
        <w:rPr>
          <w:rFonts w:ascii="Garamond" w:hAnsi="Garamond" w:cs="Arial"/>
          <w:sz w:val="26"/>
          <w:szCs w:val="26"/>
          <w:u w:color="000000"/>
        </w:rPr>
      </w:pPr>
    </w:p>
    <w:p w14:paraId="35905D1B" w14:textId="605D8B7B" w:rsidR="007B6EC1" w:rsidRPr="008E2B66" w:rsidRDefault="007B6EC1" w:rsidP="007B6EC1">
      <w:pPr>
        <w:spacing w:line="360" w:lineRule="auto"/>
        <w:jc w:val="both"/>
        <w:rPr>
          <w:rFonts w:ascii="Garamond" w:hAnsi="Garamond" w:cs="Arial"/>
          <w:b/>
          <w:bCs/>
          <w:sz w:val="26"/>
          <w:szCs w:val="26"/>
          <w:u w:color="000000"/>
        </w:rPr>
      </w:pPr>
      <w:r w:rsidRPr="008E2B66">
        <w:rPr>
          <w:rFonts w:ascii="Garamond" w:hAnsi="Garamond" w:cs="Arial"/>
          <w:b/>
          <w:bCs/>
          <w:sz w:val="26"/>
          <w:szCs w:val="26"/>
          <w:u w:color="000000"/>
        </w:rPr>
        <w:t>Rotazione del personale</w:t>
      </w:r>
    </w:p>
    <w:p w14:paraId="70A2D196" w14:textId="29984C93" w:rsidR="006E7301" w:rsidRPr="008E2B66" w:rsidRDefault="007B6EC1" w:rsidP="00352748">
      <w:pPr>
        <w:pStyle w:val="Default"/>
        <w:spacing w:after="80" w:line="276" w:lineRule="auto"/>
        <w:jc w:val="both"/>
        <w:rPr>
          <w:rFonts w:ascii="Garamond" w:hAnsi="Garamond"/>
          <w:sz w:val="26"/>
          <w:szCs w:val="26"/>
        </w:rPr>
      </w:pPr>
      <w:r w:rsidRPr="008E2B66">
        <w:rPr>
          <w:rFonts w:ascii="Garamond" w:hAnsi="Garamond"/>
          <w:sz w:val="26"/>
          <w:szCs w:val="26"/>
        </w:rPr>
        <w:t>Come è noto, l’istituto della rotazione è stato introdotto dal legislatore come una delle misure organizzative generali ad efficacia preventiva che può essere utilizzata nei confronti di coloro che operano in settori particolarmente esposti alla corruzione (cd. rotazione ordinaria, art. 1, c. 5, lett. b) della L. 190/2012).</w:t>
      </w:r>
    </w:p>
    <w:p w14:paraId="0C4FB6F2" w14:textId="3A5F56B2" w:rsidR="006E7301" w:rsidRPr="008E2B66" w:rsidRDefault="007B6EC1" w:rsidP="00352748">
      <w:pPr>
        <w:pStyle w:val="Default"/>
        <w:spacing w:after="80" w:line="276" w:lineRule="auto"/>
        <w:jc w:val="both"/>
        <w:rPr>
          <w:rFonts w:ascii="Garamond" w:hAnsi="Garamond"/>
          <w:sz w:val="26"/>
          <w:szCs w:val="26"/>
        </w:rPr>
      </w:pPr>
      <w:r w:rsidRPr="008E2B66">
        <w:rPr>
          <w:rFonts w:ascii="Garamond" w:hAnsi="Garamond"/>
          <w:sz w:val="26"/>
          <w:szCs w:val="26"/>
        </w:rPr>
        <w:t xml:space="preserve">L’ANAC, inoltre, ha più volte sollecitato le Amministrazioni a regolamentare la cd. </w:t>
      </w:r>
      <w:r w:rsidRPr="00A246AB">
        <w:rPr>
          <w:rFonts w:ascii="Garamond" w:hAnsi="Garamond"/>
          <w:i/>
          <w:iCs/>
          <w:sz w:val="26"/>
          <w:szCs w:val="26"/>
        </w:rPr>
        <w:t>rotazione straordinaria</w:t>
      </w:r>
      <w:r w:rsidRPr="008E2B66">
        <w:rPr>
          <w:rFonts w:ascii="Garamond" w:hAnsi="Garamond"/>
          <w:sz w:val="26"/>
          <w:szCs w:val="26"/>
        </w:rPr>
        <w:t xml:space="preserve"> prevista dall’art. 16</w:t>
      </w:r>
      <w:r w:rsidR="00033CFD" w:rsidRPr="008E2B66">
        <w:rPr>
          <w:rFonts w:ascii="Garamond" w:hAnsi="Garamond"/>
          <w:sz w:val="26"/>
          <w:szCs w:val="26"/>
        </w:rPr>
        <w:t>,</w:t>
      </w:r>
      <w:r w:rsidRPr="008E2B66">
        <w:rPr>
          <w:rFonts w:ascii="Garamond" w:hAnsi="Garamond"/>
          <w:sz w:val="26"/>
          <w:szCs w:val="26"/>
        </w:rPr>
        <w:t xml:space="preserve"> co. 1</w:t>
      </w:r>
      <w:r w:rsidR="00033CFD" w:rsidRPr="008E2B66">
        <w:rPr>
          <w:rFonts w:ascii="Garamond" w:hAnsi="Garamond"/>
          <w:sz w:val="26"/>
          <w:szCs w:val="26"/>
        </w:rPr>
        <w:t>,</w:t>
      </w:r>
      <w:r w:rsidRPr="008E2B66">
        <w:rPr>
          <w:rFonts w:ascii="Garamond" w:hAnsi="Garamond"/>
          <w:sz w:val="26"/>
          <w:szCs w:val="26"/>
        </w:rPr>
        <w:t xml:space="preserve"> lett. </w:t>
      </w:r>
      <w:r w:rsidR="00A246AB" w:rsidRPr="00A246AB">
        <w:rPr>
          <w:rFonts w:ascii="Garamond" w:hAnsi="Garamond"/>
          <w:i/>
          <w:iCs/>
          <w:sz w:val="26"/>
          <w:szCs w:val="26"/>
        </w:rPr>
        <w:t>l.</w:t>
      </w:r>
      <w:r w:rsidR="00A246AB">
        <w:rPr>
          <w:rFonts w:ascii="Garamond" w:hAnsi="Garamond"/>
          <w:sz w:val="26"/>
          <w:szCs w:val="26"/>
        </w:rPr>
        <w:t xml:space="preserve"> </w:t>
      </w:r>
      <w:r w:rsidRPr="00A246AB">
        <w:rPr>
          <w:rFonts w:ascii="Garamond" w:hAnsi="Garamond"/>
          <w:i/>
          <w:iCs/>
          <w:sz w:val="26"/>
          <w:szCs w:val="26"/>
        </w:rPr>
        <w:t>quater</w:t>
      </w:r>
      <w:r w:rsidR="00033CFD" w:rsidRPr="00A246AB">
        <w:rPr>
          <w:rFonts w:ascii="Garamond" w:hAnsi="Garamond"/>
          <w:i/>
          <w:iCs/>
          <w:sz w:val="26"/>
          <w:szCs w:val="26"/>
        </w:rPr>
        <w:t>,</w:t>
      </w:r>
      <w:r w:rsidRPr="008E2B66">
        <w:rPr>
          <w:rFonts w:ascii="Garamond" w:hAnsi="Garamond"/>
          <w:sz w:val="26"/>
          <w:szCs w:val="26"/>
        </w:rPr>
        <w:t xml:space="preserve"> per i casi di avvio di procedimento penale o </w:t>
      </w:r>
      <w:r w:rsidR="00A246AB">
        <w:rPr>
          <w:rFonts w:ascii="Garamond" w:hAnsi="Garamond"/>
          <w:sz w:val="26"/>
          <w:szCs w:val="26"/>
        </w:rPr>
        <w:t xml:space="preserve">per </w:t>
      </w:r>
      <w:r w:rsidRPr="008E2B66">
        <w:rPr>
          <w:rFonts w:ascii="Garamond" w:hAnsi="Garamond"/>
          <w:sz w:val="26"/>
          <w:szCs w:val="26"/>
        </w:rPr>
        <w:t xml:space="preserve">disciplinare per condotte di natura corruttiva. </w:t>
      </w:r>
    </w:p>
    <w:p w14:paraId="4A253935" w14:textId="1A1659A2" w:rsidR="006E7301" w:rsidRPr="008E2B66" w:rsidRDefault="006E7301" w:rsidP="00352748">
      <w:pPr>
        <w:spacing w:after="80" w:line="276" w:lineRule="auto"/>
        <w:jc w:val="both"/>
        <w:rPr>
          <w:rFonts w:ascii="Garamond" w:hAnsi="Garamond" w:cs="Arial"/>
          <w:sz w:val="26"/>
          <w:szCs w:val="26"/>
        </w:rPr>
      </w:pPr>
      <w:r w:rsidRPr="008E2B66">
        <w:rPr>
          <w:rFonts w:ascii="Garamond" w:hAnsi="Garamond" w:cs="Arial"/>
          <w:sz w:val="26"/>
          <w:szCs w:val="26"/>
        </w:rPr>
        <w:t>Al riguardo, recependo le suindicate indicazioni</w:t>
      </w:r>
      <w:r w:rsidR="00A246AB">
        <w:rPr>
          <w:rFonts w:ascii="Garamond" w:hAnsi="Garamond" w:cs="Arial"/>
          <w:sz w:val="26"/>
          <w:szCs w:val="26"/>
        </w:rPr>
        <w:t xml:space="preserve">, </w:t>
      </w:r>
      <w:r w:rsidRPr="008E2B66">
        <w:rPr>
          <w:rFonts w:ascii="Garamond" w:hAnsi="Garamond" w:cs="Arial"/>
          <w:sz w:val="26"/>
          <w:szCs w:val="26"/>
        </w:rPr>
        <w:t xml:space="preserve">il CREA si era </w:t>
      </w:r>
      <w:r w:rsidR="00A246AB">
        <w:rPr>
          <w:rFonts w:ascii="Garamond" w:hAnsi="Garamond" w:cs="Arial"/>
          <w:sz w:val="26"/>
          <w:szCs w:val="26"/>
        </w:rPr>
        <w:t xml:space="preserve">già </w:t>
      </w:r>
      <w:r w:rsidRPr="008E2B66">
        <w:rPr>
          <w:rFonts w:ascii="Garamond" w:hAnsi="Garamond" w:cs="Arial"/>
          <w:sz w:val="26"/>
          <w:szCs w:val="26"/>
        </w:rPr>
        <w:t>dotato di una regolamentazione dell’istituto</w:t>
      </w:r>
      <w:r w:rsidR="00A246AB">
        <w:rPr>
          <w:rFonts w:ascii="Garamond" w:hAnsi="Garamond" w:cs="Arial"/>
          <w:sz w:val="26"/>
          <w:szCs w:val="26"/>
        </w:rPr>
        <w:t>, in sede di</w:t>
      </w:r>
      <w:r w:rsidRPr="008E2B66">
        <w:rPr>
          <w:rFonts w:ascii="Garamond" w:hAnsi="Garamond" w:cs="Arial"/>
          <w:sz w:val="26"/>
          <w:szCs w:val="26"/>
        </w:rPr>
        <w:t xml:space="preserve"> PTPCT 2017</w:t>
      </w:r>
      <w:r w:rsidR="00A246AB">
        <w:rPr>
          <w:rFonts w:ascii="Garamond" w:hAnsi="Garamond" w:cs="Arial"/>
          <w:sz w:val="26"/>
          <w:szCs w:val="26"/>
        </w:rPr>
        <w:t>/</w:t>
      </w:r>
      <w:r w:rsidRPr="008E2B66">
        <w:rPr>
          <w:rFonts w:ascii="Garamond" w:hAnsi="Garamond" w:cs="Arial"/>
          <w:sz w:val="26"/>
          <w:szCs w:val="26"/>
        </w:rPr>
        <w:t>2019</w:t>
      </w:r>
      <w:r w:rsidR="00A246AB">
        <w:rPr>
          <w:rFonts w:ascii="Garamond" w:hAnsi="Garamond" w:cs="Arial"/>
          <w:sz w:val="26"/>
          <w:szCs w:val="26"/>
        </w:rPr>
        <w:t xml:space="preserve">, </w:t>
      </w:r>
      <w:r w:rsidRPr="008E2B66">
        <w:rPr>
          <w:rFonts w:ascii="Garamond" w:hAnsi="Garamond" w:cs="Arial"/>
          <w:sz w:val="26"/>
          <w:szCs w:val="26"/>
        </w:rPr>
        <w:t>i cui principi sono stati riprodotti nelle programmazioni successive</w:t>
      </w:r>
      <w:r w:rsidR="00A246AB">
        <w:rPr>
          <w:rFonts w:ascii="Garamond" w:hAnsi="Garamond" w:cs="Arial"/>
          <w:sz w:val="26"/>
          <w:szCs w:val="26"/>
        </w:rPr>
        <w:t>,</w:t>
      </w:r>
      <w:r w:rsidRPr="008E2B66">
        <w:rPr>
          <w:rFonts w:ascii="Garamond" w:hAnsi="Garamond" w:cs="Arial"/>
          <w:sz w:val="26"/>
          <w:szCs w:val="26"/>
        </w:rPr>
        <w:t xml:space="preserve"> sebbene nell’Ente vi siano sta</w:t>
      </w:r>
      <w:r w:rsidR="00A246AB">
        <w:rPr>
          <w:rFonts w:ascii="Garamond" w:hAnsi="Garamond" w:cs="Arial"/>
          <w:sz w:val="26"/>
          <w:szCs w:val="26"/>
        </w:rPr>
        <w:t xml:space="preserve">ti alcuni </w:t>
      </w:r>
      <w:r w:rsidR="00A246AB" w:rsidRPr="00890F72">
        <w:rPr>
          <w:rFonts w:ascii="Garamond" w:hAnsi="Garamond" w:cs="Arial"/>
          <w:sz w:val="26"/>
          <w:szCs w:val="26"/>
        </w:rPr>
        <w:t>interventi</w:t>
      </w:r>
      <w:r w:rsidRPr="00890F72">
        <w:rPr>
          <w:rFonts w:ascii="Garamond" w:hAnsi="Garamond" w:cs="Arial"/>
          <w:sz w:val="26"/>
          <w:szCs w:val="26"/>
        </w:rPr>
        <w:t xml:space="preserve"> </w:t>
      </w:r>
      <w:r w:rsidR="00A246AB" w:rsidRPr="00890F72">
        <w:rPr>
          <w:rFonts w:ascii="Garamond" w:hAnsi="Garamond" w:cs="Arial"/>
          <w:sz w:val="26"/>
          <w:szCs w:val="26"/>
        </w:rPr>
        <w:t>organizzativi</w:t>
      </w:r>
      <w:r w:rsidRPr="008E2B66">
        <w:rPr>
          <w:rFonts w:ascii="Garamond" w:hAnsi="Garamond" w:cs="Arial"/>
          <w:sz w:val="26"/>
          <w:szCs w:val="26"/>
        </w:rPr>
        <w:t xml:space="preserve"> sia </w:t>
      </w:r>
      <w:r w:rsidR="00A246AB">
        <w:rPr>
          <w:rFonts w:ascii="Garamond" w:hAnsi="Garamond" w:cs="Arial"/>
          <w:sz w:val="26"/>
          <w:szCs w:val="26"/>
        </w:rPr>
        <w:t xml:space="preserve"> </w:t>
      </w:r>
      <w:r w:rsidR="00A246AB" w:rsidRPr="00890F72">
        <w:rPr>
          <w:rFonts w:ascii="Garamond" w:hAnsi="Garamond" w:cs="Arial"/>
          <w:sz w:val="26"/>
          <w:szCs w:val="26"/>
        </w:rPr>
        <w:t xml:space="preserve">a livello </w:t>
      </w:r>
      <w:r w:rsidRPr="00890F72">
        <w:rPr>
          <w:rFonts w:ascii="Garamond" w:hAnsi="Garamond" w:cs="Arial"/>
          <w:sz w:val="26"/>
          <w:szCs w:val="26"/>
        </w:rPr>
        <w:t>centrale che territoriale</w:t>
      </w:r>
      <w:r w:rsidR="00A246AB" w:rsidRPr="00890F72">
        <w:rPr>
          <w:rFonts w:ascii="Garamond" w:hAnsi="Garamond" w:cs="Arial"/>
          <w:sz w:val="26"/>
          <w:szCs w:val="26"/>
        </w:rPr>
        <w:t>;</w:t>
      </w:r>
      <w:r w:rsidR="00A246AB">
        <w:rPr>
          <w:rFonts w:ascii="Garamond" w:hAnsi="Garamond" w:cs="Arial"/>
          <w:sz w:val="26"/>
          <w:szCs w:val="26"/>
        </w:rPr>
        <w:t xml:space="preserve"> tali interventi </w:t>
      </w:r>
      <w:r w:rsidRPr="008E2B66">
        <w:rPr>
          <w:rFonts w:ascii="Garamond" w:hAnsi="Garamond" w:cs="Arial"/>
          <w:sz w:val="26"/>
          <w:szCs w:val="26"/>
        </w:rPr>
        <w:t xml:space="preserve">hanno di fatto attuato la rotazione attraverso mutamenti organizzativi determinanti effetti analoghi a quelli a cui tale misura è finalizzata, unitamente all’adozione di altre misure di prevenzione complementari nell’ambito degli </w:t>
      </w:r>
      <w:r w:rsidR="00B9633E" w:rsidRPr="008E2B66">
        <w:rPr>
          <w:rFonts w:ascii="Garamond" w:hAnsi="Garamond" w:cs="Arial"/>
          <w:sz w:val="26"/>
          <w:szCs w:val="26"/>
        </w:rPr>
        <w:t>U</w:t>
      </w:r>
      <w:r w:rsidRPr="008E2B66">
        <w:rPr>
          <w:rFonts w:ascii="Garamond" w:hAnsi="Garamond" w:cs="Arial"/>
          <w:sz w:val="26"/>
          <w:szCs w:val="26"/>
        </w:rPr>
        <w:t>ffici,</w:t>
      </w:r>
      <w:r w:rsidRPr="008E2B66">
        <w:rPr>
          <w:rFonts w:ascii="Garamond" w:hAnsi="Garamond"/>
          <w:sz w:val="26"/>
          <w:szCs w:val="26"/>
        </w:rPr>
        <w:t xml:space="preserve"> </w:t>
      </w:r>
      <w:r w:rsidR="00A246AB">
        <w:rPr>
          <w:rFonts w:ascii="Garamond" w:hAnsi="Garamond"/>
          <w:sz w:val="26"/>
          <w:szCs w:val="26"/>
        </w:rPr>
        <w:t>(</w:t>
      </w:r>
      <w:r w:rsidRPr="008E2B66">
        <w:rPr>
          <w:rFonts w:ascii="Garamond" w:hAnsi="Garamond" w:cs="Arial"/>
          <w:sz w:val="26"/>
          <w:szCs w:val="26"/>
        </w:rPr>
        <w:t xml:space="preserve">quali ad esempio il lavoro in team e la </w:t>
      </w:r>
      <w:r w:rsidRPr="00A246AB">
        <w:rPr>
          <w:rFonts w:ascii="Garamond" w:hAnsi="Garamond" w:cs="Arial"/>
          <w:i/>
          <w:iCs/>
          <w:sz w:val="26"/>
          <w:szCs w:val="26"/>
        </w:rPr>
        <w:t>segregazione</w:t>
      </w:r>
      <w:r w:rsidRPr="008E2B66">
        <w:rPr>
          <w:rFonts w:ascii="Garamond" w:hAnsi="Garamond" w:cs="Arial"/>
          <w:sz w:val="26"/>
          <w:szCs w:val="26"/>
        </w:rPr>
        <w:t xml:space="preserve"> delle funzioni</w:t>
      </w:r>
      <w:r w:rsidR="00A246AB">
        <w:rPr>
          <w:rFonts w:ascii="Garamond" w:hAnsi="Garamond" w:cs="Arial"/>
          <w:sz w:val="26"/>
          <w:szCs w:val="26"/>
        </w:rPr>
        <w:t>)</w:t>
      </w:r>
      <w:r w:rsidRPr="008E2B66">
        <w:rPr>
          <w:rFonts w:ascii="Garamond" w:hAnsi="Garamond" w:cs="Arial"/>
          <w:sz w:val="26"/>
          <w:szCs w:val="26"/>
        </w:rPr>
        <w:t>.</w:t>
      </w:r>
    </w:p>
    <w:p w14:paraId="4CE2C644" w14:textId="57F4FD67" w:rsidR="006E7301" w:rsidRPr="008E2B66" w:rsidRDefault="006E7301" w:rsidP="00352748">
      <w:pPr>
        <w:pStyle w:val="Default"/>
        <w:spacing w:after="80" w:line="276" w:lineRule="auto"/>
        <w:jc w:val="both"/>
        <w:rPr>
          <w:rFonts w:ascii="Garamond" w:hAnsi="Garamond"/>
          <w:sz w:val="26"/>
          <w:szCs w:val="26"/>
        </w:rPr>
      </w:pPr>
      <w:r w:rsidRPr="008E2B66">
        <w:rPr>
          <w:rFonts w:ascii="Garamond" w:hAnsi="Garamond"/>
          <w:sz w:val="26"/>
          <w:szCs w:val="26"/>
        </w:rPr>
        <w:t xml:space="preserve">Con il </w:t>
      </w:r>
      <w:bookmarkStart w:id="9" w:name="_Hlk181713124"/>
      <w:r w:rsidRPr="008E2B66">
        <w:rPr>
          <w:rFonts w:eastAsia="Times New Roman" w:cs="Times New Roman"/>
          <w:color w:val="auto"/>
        </w:rPr>
        <w:fldChar w:fldCharType="begin"/>
      </w:r>
      <w:r w:rsidRPr="008E2B66">
        <w:rPr>
          <w:rFonts w:ascii="Garamond" w:hAnsi="Garamond"/>
          <w:sz w:val="26"/>
          <w:szCs w:val="26"/>
        </w:rPr>
        <w:instrText>HYPERLINK "https://www.crea.gov.it/piano-triennale-per-la-prevenzione-della-corruzione-e-della-trasparenza"</w:instrText>
      </w:r>
      <w:r w:rsidRPr="008E2B66">
        <w:rPr>
          <w:rFonts w:eastAsia="Times New Roman" w:cs="Times New Roman"/>
          <w:color w:val="auto"/>
        </w:rPr>
      </w:r>
      <w:r w:rsidRPr="008E2B66">
        <w:rPr>
          <w:rFonts w:eastAsia="Times New Roman" w:cs="Times New Roman"/>
          <w:color w:val="auto"/>
        </w:rPr>
        <w:fldChar w:fldCharType="separate"/>
      </w:r>
      <w:r w:rsidRPr="008E2B66">
        <w:rPr>
          <w:rStyle w:val="Collegamentoipertestuale"/>
          <w:rFonts w:ascii="Garamond" w:eastAsia="Arial Unicode MS" w:hAnsi="Garamond"/>
          <w:sz w:val="26"/>
          <w:szCs w:val="26"/>
          <w:bdr w:val="nil"/>
          <w:lang w:eastAsia="it-IT"/>
        </w:rPr>
        <w:t>PIAO 2024</w:t>
      </w:r>
      <w:r w:rsidR="00A246AB">
        <w:rPr>
          <w:rStyle w:val="Collegamentoipertestuale"/>
          <w:rFonts w:ascii="Garamond" w:eastAsia="Arial Unicode MS" w:hAnsi="Garamond"/>
          <w:sz w:val="26"/>
          <w:szCs w:val="26"/>
          <w:bdr w:val="nil"/>
          <w:lang w:eastAsia="it-IT"/>
        </w:rPr>
        <w:t>/</w:t>
      </w:r>
      <w:r w:rsidRPr="008E2B66">
        <w:rPr>
          <w:rStyle w:val="Collegamentoipertestuale"/>
          <w:rFonts w:ascii="Garamond" w:eastAsia="Arial Unicode MS" w:hAnsi="Garamond"/>
          <w:sz w:val="26"/>
          <w:szCs w:val="26"/>
          <w:bdr w:val="nil"/>
          <w:lang w:eastAsia="it-IT"/>
        </w:rPr>
        <w:t>2026</w:t>
      </w:r>
      <w:r w:rsidRPr="008E2B66">
        <w:rPr>
          <w:rStyle w:val="Collegamentoipertestuale"/>
          <w:rFonts w:ascii="Garamond" w:eastAsia="Arial Unicode MS" w:hAnsi="Garamond"/>
          <w:sz w:val="26"/>
          <w:szCs w:val="26"/>
          <w:bdr w:val="nil"/>
          <w:lang w:eastAsia="it-IT"/>
        </w:rPr>
        <w:fldChar w:fldCharType="end"/>
      </w:r>
      <w:bookmarkEnd w:id="9"/>
      <w:r w:rsidRPr="008E2B66">
        <w:rPr>
          <w:rFonts w:ascii="Garamond" w:eastAsia="Arial Unicode MS" w:hAnsi="Garamond"/>
          <w:color w:val="FF0000"/>
          <w:sz w:val="26"/>
          <w:szCs w:val="26"/>
          <w:u w:color="000000"/>
          <w:bdr w:val="nil"/>
          <w:lang w:eastAsia="it-IT"/>
        </w:rPr>
        <w:t xml:space="preserve">  </w:t>
      </w:r>
      <w:r w:rsidRPr="008E2B66">
        <w:rPr>
          <w:rFonts w:ascii="Garamond" w:hAnsi="Garamond"/>
          <w:sz w:val="26"/>
          <w:szCs w:val="26"/>
        </w:rPr>
        <w:t xml:space="preserve">la disciplina della rotazione è stata rielaborata </w:t>
      </w:r>
      <w:r w:rsidR="00723670" w:rsidRPr="008E2B66">
        <w:rPr>
          <w:rFonts w:ascii="Garamond" w:hAnsi="Garamond"/>
          <w:sz w:val="26"/>
          <w:szCs w:val="26"/>
        </w:rPr>
        <w:t>ed inserita</w:t>
      </w:r>
      <w:r w:rsidRPr="008E2B66">
        <w:rPr>
          <w:rFonts w:ascii="Garamond" w:hAnsi="Garamond"/>
          <w:sz w:val="26"/>
          <w:szCs w:val="26"/>
        </w:rPr>
        <w:t xml:space="preserve"> </w:t>
      </w:r>
      <w:r w:rsidRPr="00A246AB">
        <w:rPr>
          <w:rFonts w:ascii="Garamond" w:hAnsi="Garamond"/>
          <w:sz w:val="26"/>
          <w:szCs w:val="26"/>
        </w:rPr>
        <w:t>nell’</w:t>
      </w:r>
      <w:r w:rsidR="00A246AB" w:rsidRPr="00A246AB">
        <w:rPr>
          <w:rFonts w:ascii="Garamond" w:hAnsi="Garamond"/>
          <w:i/>
          <w:iCs/>
          <w:sz w:val="26"/>
          <w:szCs w:val="26"/>
        </w:rPr>
        <w:t>A</w:t>
      </w:r>
      <w:r w:rsidRPr="00A246AB">
        <w:rPr>
          <w:rFonts w:ascii="Garamond" w:hAnsi="Garamond"/>
          <w:i/>
          <w:iCs/>
          <w:sz w:val="26"/>
          <w:szCs w:val="26"/>
        </w:rPr>
        <w:t xml:space="preserve">llegato 8 </w:t>
      </w:r>
      <w:r w:rsidRPr="00890F72">
        <w:rPr>
          <w:rFonts w:ascii="Garamond" w:hAnsi="Garamond"/>
          <w:sz w:val="26"/>
          <w:szCs w:val="26"/>
        </w:rPr>
        <w:t>del predetto Piano</w:t>
      </w:r>
      <w:r w:rsidRPr="008E2B66">
        <w:rPr>
          <w:rFonts w:ascii="Garamond" w:hAnsi="Garamond"/>
          <w:sz w:val="26"/>
          <w:szCs w:val="26"/>
        </w:rPr>
        <w:t xml:space="preserve"> a cui si rinvia.</w:t>
      </w:r>
    </w:p>
    <w:p w14:paraId="5C68F5CC" w14:textId="5AAC1EB0" w:rsidR="00A47B84" w:rsidRPr="008E2B66" w:rsidRDefault="00394A0C" w:rsidP="00352748">
      <w:pPr>
        <w:spacing w:after="80" w:line="276" w:lineRule="auto"/>
        <w:jc w:val="both"/>
        <w:rPr>
          <w:rFonts w:ascii="Garamond" w:eastAsia="Arial Unicode MS" w:hAnsi="Garamond" w:cs="Arial"/>
          <w:sz w:val="26"/>
          <w:szCs w:val="26"/>
          <w:u w:color="000000"/>
          <w:bdr w:val="nil"/>
          <w:lang w:eastAsia="it-IT"/>
        </w:rPr>
      </w:pPr>
      <w:r w:rsidRPr="008E2B66">
        <w:rPr>
          <w:rFonts w:ascii="Garamond" w:eastAsia="Arial Unicode MS" w:hAnsi="Garamond" w:cs="Arial"/>
          <w:sz w:val="26"/>
          <w:szCs w:val="26"/>
          <w:u w:color="000000"/>
          <w:bdr w:val="nil"/>
          <w:lang w:eastAsia="it-IT"/>
        </w:rPr>
        <w:t xml:space="preserve">Con riferimento alla </w:t>
      </w:r>
      <w:r w:rsidRPr="00A246AB">
        <w:rPr>
          <w:rFonts w:ascii="Garamond" w:eastAsia="Arial Unicode MS" w:hAnsi="Garamond" w:cs="Arial"/>
          <w:i/>
          <w:iCs/>
          <w:sz w:val="26"/>
          <w:szCs w:val="26"/>
          <w:u w:color="000000"/>
          <w:bdr w:val="nil"/>
          <w:lang w:eastAsia="it-IT"/>
        </w:rPr>
        <w:t>rotazione ordinaria</w:t>
      </w:r>
      <w:r w:rsidRPr="008E2B66">
        <w:rPr>
          <w:rFonts w:ascii="Garamond" w:eastAsia="Arial Unicode MS" w:hAnsi="Garamond" w:cs="Arial"/>
          <w:sz w:val="26"/>
          <w:szCs w:val="26"/>
          <w:u w:color="000000"/>
          <w:bdr w:val="nil"/>
          <w:lang w:eastAsia="it-IT"/>
        </w:rPr>
        <w:t xml:space="preserve"> </w:t>
      </w:r>
      <w:r w:rsidR="00033CFD" w:rsidRPr="008E2B66">
        <w:rPr>
          <w:rFonts w:ascii="Garamond" w:eastAsia="Arial Unicode MS" w:hAnsi="Garamond" w:cs="Arial"/>
          <w:sz w:val="26"/>
          <w:szCs w:val="26"/>
          <w:u w:color="000000"/>
          <w:bdr w:val="nil"/>
          <w:lang w:eastAsia="it-IT"/>
        </w:rPr>
        <w:t xml:space="preserve">si ritiene opportuno </w:t>
      </w:r>
      <w:r w:rsidR="00723670" w:rsidRPr="008E2B66">
        <w:rPr>
          <w:rFonts w:ascii="Garamond" w:eastAsia="Arial Unicode MS" w:hAnsi="Garamond" w:cs="Arial"/>
          <w:sz w:val="26"/>
          <w:szCs w:val="26"/>
          <w:u w:color="000000"/>
          <w:bdr w:val="nil"/>
          <w:lang w:eastAsia="it-IT"/>
        </w:rPr>
        <w:t>ribadire</w:t>
      </w:r>
      <w:r w:rsidRPr="008E2B66">
        <w:rPr>
          <w:rFonts w:ascii="Garamond" w:eastAsia="Arial Unicode MS" w:hAnsi="Garamond" w:cs="Arial"/>
          <w:sz w:val="26"/>
          <w:szCs w:val="26"/>
          <w:u w:color="000000"/>
          <w:bdr w:val="nil"/>
          <w:lang w:eastAsia="it-IT"/>
        </w:rPr>
        <w:t xml:space="preserve"> che </w:t>
      </w:r>
      <w:r w:rsidR="00723670" w:rsidRPr="008E2B66">
        <w:rPr>
          <w:rFonts w:ascii="Garamond" w:eastAsia="Arial Unicode MS" w:hAnsi="Garamond" w:cs="Arial"/>
          <w:sz w:val="26"/>
          <w:szCs w:val="26"/>
          <w:u w:color="000000"/>
          <w:bdr w:val="nil"/>
          <w:lang w:eastAsia="it-IT"/>
        </w:rPr>
        <w:t xml:space="preserve">occorre attendere le risultanze del </w:t>
      </w:r>
      <w:r w:rsidRPr="008E2B66">
        <w:rPr>
          <w:rFonts w:ascii="Garamond" w:eastAsia="Arial Unicode MS" w:hAnsi="Garamond" w:cs="Arial"/>
          <w:sz w:val="26"/>
          <w:szCs w:val="26"/>
          <w:u w:color="000000"/>
          <w:bdr w:val="nil"/>
          <w:lang w:eastAsia="it-IT"/>
        </w:rPr>
        <w:t xml:space="preserve">processo di riorganizzazione </w:t>
      </w:r>
      <w:r w:rsidR="00A246AB">
        <w:rPr>
          <w:rFonts w:ascii="Garamond" w:eastAsia="Arial Unicode MS" w:hAnsi="Garamond" w:cs="Arial"/>
          <w:sz w:val="26"/>
          <w:szCs w:val="26"/>
          <w:u w:color="000000"/>
          <w:bdr w:val="nil"/>
          <w:lang w:eastAsia="it-IT"/>
        </w:rPr>
        <w:t>conseguente</w:t>
      </w:r>
      <w:r w:rsidRPr="008E2B66">
        <w:rPr>
          <w:rFonts w:ascii="Garamond" w:eastAsia="Arial Unicode MS" w:hAnsi="Garamond" w:cs="Arial"/>
          <w:sz w:val="26"/>
          <w:szCs w:val="26"/>
          <w:u w:color="000000"/>
          <w:bdr w:val="nil"/>
          <w:lang w:eastAsia="it-IT"/>
        </w:rPr>
        <w:t xml:space="preserve"> al D.L n. 44/2023</w:t>
      </w:r>
      <w:r w:rsidRPr="008E2B66">
        <w:rPr>
          <w:rFonts w:ascii="Garamond" w:hAnsi="Garamond"/>
          <w:sz w:val="26"/>
          <w:szCs w:val="26"/>
        </w:rPr>
        <w:t xml:space="preserve"> </w:t>
      </w:r>
      <w:r w:rsidRPr="008E2B66">
        <w:rPr>
          <w:rFonts w:ascii="Garamond" w:eastAsia="Arial Unicode MS" w:hAnsi="Garamond" w:cs="Arial"/>
          <w:sz w:val="26"/>
          <w:szCs w:val="26"/>
          <w:u w:color="000000"/>
          <w:bdr w:val="nil"/>
          <w:lang w:eastAsia="it-IT"/>
        </w:rPr>
        <w:t xml:space="preserve">convertito con modificazioni </w:t>
      </w:r>
      <w:r w:rsidR="00A246AB">
        <w:rPr>
          <w:rFonts w:ascii="Garamond" w:eastAsia="Arial Unicode MS" w:hAnsi="Garamond" w:cs="Arial"/>
          <w:sz w:val="26"/>
          <w:szCs w:val="26"/>
          <w:u w:color="000000"/>
          <w:bdr w:val="nil"/>
          <w:lang w:eastAsia="it-IT"/>
        </w:rPr>
        <w:t>in</w:t>
      </w:r>
      <w:r w:rsidRPr="008E2B66">
        <w:rPr>
          <w:rFonts w:ascii="Garamond" w:eastAsia="Arial Unicode MS" w:hAnsi="Garamond" w:cs="Arial"/>
          <w:sz w:val="26"/>
          <w:szCs w:val="26"/>
          <w:u w:color="000000"/>
          <w:bdr w:val="nil"/>
          <w:lang w:eastAsia="it-IT"/>
        </w:rPr>
        <w:t xml:space="preserve"> L. 21 giugno 2023, n. 74</w:t>
      </w:r>
      <w:r w:rsidR="00723670" w:rsidRPr="008E2B66">
        <w:rPr>
          <w:rFonts w:ascii="Garamond" w:eastAsia="Arial Unicode MS" w:hAnsi="Garamond" w:cs="Arial"/>
          <w:sz w:val="26"/>
          <w:szCs w:val="26"/>
          <w:u w:color="000000"/>
          <w:bdr w:val="nil"/>
          <w:lang w:eastAsia="it-IT"/>
        </w:rPr>
        <w:t xml:space="preserve"> che presumibilmente comporterà una </w:t>
      </w:r>
      <w:r w:rsidR="00033CFD" w:rsidRPr="008E2B66">
        <w:rPr>
          <w:rFonts w:ascii="Garamond" w:eastAsia="Arial Unicode MS" w:hAnsi="Garamond" w:cs="Arial"/>
          <w:sz w:val="26"/>
          <w:szCs w:val="26"/>
          <w:u w:color="000000"/>
          <w:bdr w:val="nil"/>
          <w:lang w:eastAsia="it-IT"/>
        </w:rPr>
        <w:t xml:space="preserve">diversa </w:t>
      </w:r>
      <w:r w:rsidR="00D97FD2">
        <w:rPr>
          <w:rFonts w:ascii="Garamond" w:eastAsia="Arial Unicode MS" w:hAnsi="Garamond" w:cs="Arial"/>
          <w:sz w:val="26"/>
          <w:szCs w:val="26"/>
          <w:u w:color="000000"/>
          <w:bdr w:val="nil"/>
          <w:lang w:eastAsia="it-IT"/>
        </w:rPr>
        <w:t xml:space="preserve">ripartizione </w:t>
      </w:r>
      <w:r w:rsidR="00723670" w:rsidRPr="008E2B66">
        <w:rPr>
          <w:rFonts w:ascii="Garamond" w:eastAsia="Arial Unicode MS" w:hAnsi="Garamond" w:cs="Arial"/>
          <w:sz w:val="26"/>
          <w:szCs w:val="26"/>
          <w:u w:color="000000"/>
          <w:bdr w:val="nil"/>
          <w:lang w:eastAsia="it-IT"/>
        </w:rPr>
        <w:t xml:space="preserve">di funzioni e </w:t>
      </w:r>
      <w:r w:rsidR="00D97FD2">
        <w:rPr>
          <w:rFonts w:ascii="Garamond" w:eastAsia="Arial Unicode MS" w:hAnsi="Garamond" w:cs="Arial"/>
          <w:sz w:val="26"/>
          <w:szCs w:val="26"/>
          <w:u w:color="000000"/>
          <w:bdr w:val="nil"/>
          <w:lang w:eastAsia="it-IT"/>
        </w:rPr>
        <w:t>strutturazione sia centrale che territoriale</w:t>
      </w:r>
      <w:r w:rsidR="00723670" w:rsidRPr="008E2B66">
        <w:rPr>
          <w:rFonts w:ascii="Garamond" w:eastAsia="Arial Unicode MS" w:hAnsi="Garamond" w:cs="Arial"/>
          <w:sz w:val="26"/>
          <w:szCs w:val="26"/>
          <w:u w:color="000000"/>
          <w:bdr w:val="nil"/>
          <w:lang w:eastAsia="it-IT"/>
        </w:rPr>
        <w:t>.</w:t>
      </w:r>
    </w:p>
    <w:p w14:paraId="0DFBE07B" w14:textId="77777777" w:rsidR="00E31B03" w:rsidRPr="008E2B66" w:rsidRDefault="00E31B03" w:rsidP="00352748">
      <w:pPr>
        <w:pStyle w:val="Paragrafoelenco"/>
        <w:autoSpaceDE w:val="0"/>
        <w:autoSpaceDN w:val="0"/>
        <w:adjustRightInd w:val="0"/>
        <w:spacing w:after="80" w:line="276" w:lineRule="auto"/>
        <w:ind w:left="0"/>
        <w:jc w:val="both"/>
        <w:rPr>
          <w:rFonts w:ascii="Garamond" w:eastAsia="Arial Unicode MS" w:hAnsi="Garamond" w:cs="Arial"/>
          <w:color w:val="FF0000"/>
          <w:sz w:val="26"/>
          <w:szCs w:val="26"/>
          <w:u w:color="000000"/>
          <w:bdr w:val="nil"/>
          <w:lang w:eastAsia="it-IT"/>
        </w:rPr>
      </w:pPr>
    </w:p>
    <w:p w14:paraId="04566581" w14:textId="7FBCD2AF" w:rsidR="00686632" w:rsidRPr="008E2B66" w:rsidRDefault="007D1947" w:rsidP="007B6EC1">
      <w:pPr>
        <w:spacing w:line="360" w:lineRule="auto"/>
        <w:jc w:val="both"/>
        <w:rPr>
          <w:rFonts w:ascii="Garamond" w:eastAsia="Arial Unicode MS" w:hAnsi="Garamond" w:cs="Arial"/>
          <w:b/>
          <w:bCs/>
          <w:sz w:val="26"/>
          <w:szCs w:val="26"/>
          <w:u w:color="000000"/>
          <w:bdr w:val="nil"/>
          <w:lang w:eastAsia="it-IT"/>
        </w:rPr>
      </w:pPr>
      <w:r w:rsidRPr="008E2B66">
        <w:rPr>
          <w:rFonts w:ascii="Garamond" w:eastAsia="Arial Unicode MS" w:hAnsi="Garamond" w:cs="Arial"/>
          <w:b/>
          <w:bCs/>
          <w:sz w:val="26"/>
          <w:szCs w:val="26"/>
          <w:u w:color="000000"/>
          <w:bdr w:val="nil"/>
          <w:lang w:eastAsia="it-IT"/>
        </w:rPr>
        <w:t>Whistleblowing</w:t>
      </w:r>
    </w:p>
    <w:p w14:paraId="55D85ABA" w14:textId="3D676F5A" w:rsidR="00FB34E2" w:rsidRPr="008E2B66" w:rsidRDefault="00FB34E2" w:rsidP="00352748">
      <w:pPr>
        <w:spacing w:after="80" w:line="276" w:lineRule="auto"/>
        <w:jc w:val="both"/>
        <w:rPr>
          <w:rFonts w:ascii="Garamond" w:hAnsi="Garamond" w:cs="Arial"/>
          <w:sz w:val="26"/>
          <w:szCs w:val="26"/>
          <w:u w:color="000000"/>
          <w:lang w:eastAsia="it-IT"/>
        </w:rPr>
      </w:pPr>
      <w:r w:rsidRPr="008E2B66">
        <w:rPr>
          <w:rFonts w:ascii="Garamond" w:hAnsi="Garamond" w:cs="Arial"/>
          <w:sz w:val="26"/>
          <w:szCs w:val="26"/>
          <w:u w:color="000000"/>
          <w:lang w:eastAsia="it-IT"/>
        </w:rPr>
        <w:t xml:space="preserve">Nel </w:t>
      </w:r>
      <w:r w:rsidR="00CA20C0" w:rsidRPr="008E2B66">
        <w:rPr>
          <w:rFonts w:ascii="Garamond" w:hAnsi="Garamond" w:cs="Arial"/>
          <w:sz w:val="26"/>
          <w:szCs w:val="26"/>
          <w:u w:color="000000"/>
          <w:lang w:eastAsia="it-IT"/>
        </w:rPr>
        <w:t xml:space="preserve">corso del </w:t>
      </w:r>
      <w:r w:rsidRPr="008E2B66">
        <w:rPr>
          <w:rFonts w:ascii="Garamond" w:hAnsi="Garamond" w:cs="Arial"/>
          <w:sz w:val="26"/>
          <w:szCs w:val="26"/>
          <w:u w:color="000000"/>
          <w:lang w:eastAsia="it-IT"/>
        </w:rPr>
        <w:t xml:space="preserve">2024, </w:t>
      </w:r>
      <w:r w:rsidR="007407F9" w:rsidRPr="008E2B66">
        <w:rPr>
          <w:rFonts w:ascii="Garamond" w:hAnsi="Garamond" w:cs="Arial"/>
          <w:sz w:val="26"/>
          <w:szCs w:val="26"/>
          <w:u w:color="000000"/>
          <w:lang w:eastAsia="it-IT"/>
        </w:rPr>
        <w:t>con delibera del Cd</w:t>
      </w:r>
      <w:r w:rsidR="00D97FD2">
        <w:rPr>
          <w:rFonts w:ascii="Garamond" w:hAnsi="Garamond" w:cs="Arial"/>
          <w:sz w:val="26"/>
          <w:szCs w:val="26"/>
          <w:u w:color="000000"/>
          <w:lang w:eastAsia="it-IT"/>
        </w:rPr>
        <w:t>a</w:t>
      </w:r>
      <w:r w:rsidR="007407F9" w:rsidRPr="008E2B66">
        <w:rPr>
          <w:rFonts w:ascii="Garamond" w:hAnsi="Garamond" w:cs="Arial"/>
          <w:sz w:val="26"/>
          <w:szCs w:val="26"/>
          <w:u w:color="000000"/>
          <w:lang w:eastAsia="it-IT"/>
        </w:rPr>
        <w:t xml:space="preserve"> n. 8/2024, è stata approvata l’adesione del </w:t>
      </w:r>
      <w:r w:rsidRPr="008E2B66">
        <w:rPr>
          <w:rFonts w:ascii="Garamond" w:hAnsi="Garamond" w:cs="Arial"/>
          <w:sz w:val="26"/>
          <w:szCs w:val="26"/>
          <w:u w:color="000000"/>
          <w:lang w:eastAsia="it-IT"/>
        </w:rPr>
        <w:t xml:space="preserve">CREA al progetto di </w:t>
      </w:r>
      <w:r w:rsidRPr="00D97FD2">
        <w:rPr>
          <w:rFonts w:ascii="Garamond" w:hAnsi="Garamond" w:cs="Arial"/>
          <w:i/>
          <w:iCs/>
          <w:sz w:val="26"/>
          <w:szCs w:val="26"/>
          <w:u w:color="000000"/>
          <w:lang w:eastAsia="it-IT"/>
        </w:rPr>
        <w:t>Trasparency International Italia</w:t>
      </w:r>
      <w:r w:rsidRPr="008E2B66">
        <w:rPr>
          <w:rFonts w:ascii="Garamond" w:hAnsi="Garamond" w:cs="Arial"/>
          <w:sz w:val="26"/>
          <w:szCs w:val="26"/>
          <w:u w:color="000000"/>
          <w:lang w:eastAsia="it-IT"/>
        </w:rPr>
        <w:t xml:space="preserve"> e </w:t>
      </w:r>
      <w:r w:rsidRPr="00D97FD2">
        <w:rPr>
          <w:rFonts w:ascii="Garamond" w:hAnsi="Garamond" w:cs="Arial"/>
          <w:i/>
          <w:iCs/>
          <w:sz w:val="26"/>
          <w:szCs w:val="26"/>
          <w:u w:color="000000"/>
          <w:lang w:eastAsia="it-IT"/>
        </w:rPr>
        <w:t>Whistleblowing Solutions</w:t>
      </w:r>
      <w:r w:rsidRPr="008E2B66">
        <w:rPr>
          <w:rFonts w:ascii="Garamond" w:hAnsi="Garamond" w:cs="Arial"/>
          <w:sz w:val="26"/>
          <w:szCs w:val="26"/>
          <w:u w:color="000000"/>
          <w:lang w:eastAsia="it-IT"/>
        </w:rPr>
        <w:t xml:space="preserve"> per l’adozione della piattaforma informatica crittografata gratuita </w:t>
      </w:r>
      <w:r w:rsidRPr="00D97FD2">
        <w:rPr>
          <w:rFonts w:ascii="Garamond" w:hAnsi="Garamond" w:cs="Arial"/>
          <w:i/>
          <w:iCs/>
          <w:sz w:val="26"/>
          <w:szCs w:val="26"/>
          <w:u w:color="000000"/>
          <w:lang w:eastAsia="it-IT"/>
        </w:rPr>
        <w:t>Whistleblowing</w:t>
      </w:r>
      <w:r w:rsidR="00893487">
        <w:rPr>
          <w:rFonts w:ascii="Garamond" w:hAnsi="Garamond" w:cs="Arial"/>
          <w:i/>
          <w:iCs/>
          <w:sz w:val="26"/>
          <w:szCs w:val="26"/>
          <w:u w:color="000000"/>
          <w:lang w:eastAsia="it-IT"/>
        </w:rPr>
        <w:t xml:space="preserve"> </w:t>
      </w:r>
      <w:r w:rsidRPr="00D97FD2">
        <w:rPr>
          <w:rFonts w:ascii="Garamond" w:hAnsi="Garamond" w:cs="Arial"/>
          <w:i/>
          <w:iCs/>
          <w:sz w:val="26"/>
          <w:szCs w:val="26"/>
          <w:u w:color="000000"/>
          <w:lang w:eastAsia="it-IT"/>
        </w:rPr>
        <w:t>PA</w:t>
      </w:r>
      <w:r w:rsidR="00D97FD2" w:rsidRPr="00D97FD2">
        <w:rPr>
          <w:rFonts w:ascii="Garamond" w:hAnsi="Garamond" w:cs="Arial"/>
          <w:i/>
          <w:iCs/>
          <w:sz w:val="26"/>
          <w:szCs w:val="26"/>
          <w:u w:color="000000"/>
          <w:lang w:eastAsia="it-IT"/>
        </w:rPr>
        <w:t xml:space="preserve"> </w:t>
      </w:r>
      <w:r w:rsidRPr="008E2B66">
        <w:rPr>
          <w:rFonts w:ascii="Garamond" w:hAnsi="Garamond" w:cs="Arial"/>
          <w:sz w:val="26"/>
          <w:szCs w:val="26"/>
          <w:u w:color="000000"/>
          <w:lang w:eastAsia="it-IT"/>
        </w:rPr>
        <w:t xml:space="preserve">per le segnalazioni di </w:t>
      </w:r>
      <w:r w:rsidRPr="00D97FD2">
        <w:rPr>
          <w:rFonts w:ascii="Garamond" w:hAnsi="Garamond" w:cs="Arial"/>
          <w:i/>
          <w:iCs/>
          <w:sz w:val="26"/>
          <w:szCs w:val="26"/>
          <w:u w:color="000000"/>
          <w:lang w:eastAsia="it-IT"/>
        </w:rPr>
        <w:t>whistleblowing</w:t>
      </w:r>
      <w:r w:rsidRPr="008E2B66">
        <w:rPr>
          <w:rFonts w:ascii="Garamond" w:hAnsi="Garamond" w:cs="Arial"/>
          <w:sz w:val="26"/>
          <w:szCs w:val="26"/>
          <w:u w:color="000000"/>
          <w:lang w:eastAsia="it-IT"/>
        </w:rPr>
        <w:t xml:space="preserve"> di cui al Dlgs. n. 24/2023</w:t>
      </w:r>
      <w:r w:rsidR="007407F9" w:rsidRPr="008E2B66">
        <w:rPr>
          <w:rFonts w:ascii="Garamond" w:hAnsi="Garamond" w:cs="Arial"/>
          <w:sz w:val="26"/>
          <w:szCs w:val="26"/>
          <w:u w:color="000000"/>
          <w:lang w:eastAsia="it-IT"/>
        </w:rPr>
        <w:t xml:space="preserve">. Con la citata delibera è stato approvato anche il necessario aggiornamento della </w:t>
      </w:r>
      <w:r w:rsidR="007407F9" w:rsidRPr="00CC411C">
        <w:rPr>
          <w:rFonts w:ascii="Garamond" w:hAnsi="Garamond" w:cs="Arial"/>
          <w:sz w:val="26"/>
          <w:szCs w:val="26"/>
          <w:u w:color="000000"/>
          <w:lang w:eastAsia="it-IT"/>
        </w:rPr>
        <w:t>procedura</w:t>
      </w:r>
      <w:r w:rsidR="00CC411C" w:rsidRPr="00CC411C">
        <w:rPr>
          <w:rFonts w:ascii="Garamond" w:hAnsi="Garamond" w:cs="Arial"/>
          <w:sz w:val="26"/>
          <w:szCs w:val="26"/>
          <w:u w:color="000000"/>
          <w:lang w:eastAsia="it-IT"/>
        </w:rPr>
        <w:t xml:space="preserve"> </w:t>
      </w:r>
      <w:r w:rsidR="007407F9" w:rsidRPr="00CC411C">
        <w:rPr>
          <w:rFonts w:ascii="Garamond" w:hAnsi="Garamond" w:cs="Arial"/>
          <w:sz w:val="26"/>
          <w:szCs w:val="26"/>
          <w:u w:color="000000"/>
          <w:lang w:eastAsia="it-IT"/>
        </w:rPr>
        <w:t>per</w:t>
      </w:r>
      <w:r w:rsidR="007407F9" w:rsidRPr="008E2B66">
        <w:rPr>
          <w:rFonts w:ascii="Garamond" w:hAnsi="Garamond" w:cs="Arial"/>
          <w:sz w:val="26"/>
          <w:szCs w:val="26"/>
          <w:u w:color="000000"/>
          <w:lang w:eastAsia="it-IT"/>
        </w:rPr>
        <w:t xml:space="preserve"> </w:t>
      </w:r>
      <w:r w:rsidR="00D97FD2">
        <w:rPr>
          <w:rFonts w:ascii="Garamond" w:hAnsi="Garamond" w:cs="Arial"/>
          <w:sz w:val="26"/>
          <w:szCs w:val="26"/>
          <w:u w:color="000000"/>
          <w:lang w:eastAsia="it-IT"/>
        </w:rPr>
        <w:t xml:space="preserve">la ricezione </w:t>
      </w:r>
      <w:r w:rsidR="007407F9" w:rsidRPr="008E2B66">
        <w:rPr>
          <w:rFonts w:ascii="Garamond" w:hAnsi="Garamond" w:cs="Arial"/>
          <w:sz w:val="26"/>
          <w:szCs w:val="26"/>
          <w:u w:color="000000"/>
          <w:lang w:eastAsia="it-IT"/>
        </w:rPr>
        <w:t>e la gestione delle segnalazioni interne.</w:t>
      </w:r>
    </w:p>
    <w:p w14:paraId="6FD464E0" w14:textId="5D2C9418" w:rsidR="00F52693" w:rsidRPr="008E2B66" w:rsidRDefault="00F52693" w:rsidP="00352748">
      <w:pPr>
        <w:spacing w:after="80" w:line="276" w:lineRule="auto"/>
        <w:jc w:val="both"/>
        <w:rPr>
          <w:rFonts w:ascii="Garamond" w:hAnsi="Garamond" w:cs="Arial"/>
          <w:sz w:val="26"/>
          <w:szCs w:val="26"/>
          <w:u w:color="000000"/>
          <w:bdr w:val="none" w:sz="0" w:space="0" w:color="auto" w:frame="1"/>
          <w:lang w:eastAsia="it-IT"/>
        </w:rPr>
      </w:pPr>
      <w:r w:rsidRPr="008E2B66">
        <w:rPr>
          <w:rFonts w:ascii="Garamond" w:hAnsi="Garamond" w:cs="Arial"/>
          <w:sz w:val="26"/>
          <w:szCs w:val="26"/>
          <w:u w:color="000000"/>
          <w:bdr w:val="none" w:sz="0" w:space="0" w:color="auto" w:frame="1"/>
          <w:lang w:eastAsia="it-IT"/>
        </w:rPr>
        <w:t>La vigente procedura in materia di</w:t>
      </w:r>
      <w:r w:rsidR="00D97FD2">
        <w:rPr>
          <w:rFonts w:ascii="Garamond" w:hAnsi="Garamond" w:cs="Arial"/>
          <w:sz w:val="26"/>
          <w:szCs w:val="26"/>
          <w:u w:color="000000"/>
          <w:bdr w:val="none" w:sz="0" w:space="0" w:color="auto" w:frame="1"/>
          <w:lang w:eastAsia="it-IT"/>
        </w:rPr>
        <w:t xml:space="preserve"> </w:t>
      </w:r>
      <w:r w:rsidRPr="00D97FD2">
        <w:rPr>
          <w:rFonts w:ascii="Garamond" w:hAnsi="Garamond" w:cs="Arial"/>
          <w:i/>
          <w:iCs/>
          <w:sz w:val="26"/>
          <w:szCs w:val="26"/>
          <w:u w:color="000000"/>
          <w:bdr w:val="none" w:sz="0" w:space="0" w:color="auto" w:frame="1"/>
          <w:lang w:eastAsia="it-IT"/>
        </w:rPr>
        <w:t xml:space="preserve">whistleblowing </w:t>
      </w:r>
      <w:r w:rsidRPr="008E2B66">
        <w:rPr>
          <w:rFonts w:ascii="Garamond" w:hAnsi="Garamond" w:cs="Arial"/>
          <w:sz w:val="26"/>
          <w:szCs w:val="26"/>
          <w:u w:color="000000"/>
          <w:bdr w:val="none" w:sz="0" w:space="0" w:color="auto" w:frame="1"/>
          <w:lang w:eastAsia="it-IT"/>
        </w:rPr>
        <w:t xml:space="preserve">è pubblicata nella sezione </w:t>
      </w:r>
      <w:r w:rsidRPr="00D97FD2">
        <w:rPr>
          <w:rFonts w:ascii="Garamond" w:hAnsi="Garamond" w:cs="Arial"/>
          <w:i/>
          <w:iCs/>
          <w:sz w:val="26"/>
          <w:szCs w:val="26"/>
          <w:u w:color="000000"/>
          <w:bdr w:val="none" w:sz="0" w:space="0" w:color="auto" w:frame="1"/>
          <w:lang w:eastAsia="it-IT"/>
        </w:rPr>
        <w:t>Amministrazione trasparente</w:t>
      </w:r>
      <w:r w:rsidRPr="008E2B66">
        <w:rPr>
          <w:rFonts w:ascii="Garamond" w:hAnsi="Garamond" w:cs="Arial"/>
          <w:sz w:val="26"/>
          <w:szCs w:val="26"/>
          <w:u w:color="000000"/>
          <w:bdr w:val="none" w:sz="0" w:space="0" w:color="auto" w:frame="1"/>
          <w:lang w:eastAsia="it-IT"/>
        </w:rPr>
        <w:t xml:space="preserve"> del sito </w:t>
      </w:r>
      <w:r w:rsidR="00D97FD2">
        <w:rPr>
          <w:rFonts w:ascii="Garamond" w:hAnsi="Garamond" w:cs="Arial"/>
          <w:sz w:val="26"/>
          <w:szCs w:val="26"/>
          <w:u w:color="000000"/>
          <w:bdr w:val="none" w:sz="0" w:space="0" w:color="auto" w:frame="1"/>
          <w:lang w:eastAsia="it-IT"/>
        </w:rPr>
        <w:t>istituzionale</w:t>
      </w:r>
      <w:r w:rsidR="00B92605">
        <w:rPr>
          <w:rFonts w:ascii="Garamond" w:hAnsi="Garamond" w:cs="Arial"/>
          <w:sz w:val="26"/>
          <w:szCs w:val="26"/>
          <w:u w:color="000000"/>
          <w:bdr w:val="none" w:sz="0" w:space="0" w:color="auto" w:frame="1"/>
          <w:lang w:eastAsia="it-IT"/>
        </w:rPr>
        <w:t xml:space="preserve"> </w:t>
      </w:r>
      <w:r w:rsidRPr="008E2B66">
        <w:rPr>
          <w:rFonts w:ascii="Garamond" w:hAnsi="Garamond" w:cs="Arial"/>
          <w:sz w:val="26"/>
          <w:szCs w:val="26"/>
          <w:u w:color="000000"/>
          <w:bdr w:val="none" w:sz="0" w:space="0" w:color="auto" w:frame="1"/>
          <w:lang w:eastAsia="it-IT"/>
        </w:rPr>
        <w:t xml:space="preserve">al seguente link </w:t>
      </w:r>
      <w:hyperlink r:id="rId20" w:history="1">
        <w:r w:rsidR="00233861" w:rsidRPr="008E2B66">
          <w:rPr>
            <w:rStyle w:val="Collegamentoipertestuale"/>
            <w:rFonts w:ascii="Garamond" w:hAnsi="Garamond" w:cs="Arial"/>
            <w:sz w:val="26"/>
            <w:szCs w:val="26"/>
            <w:bdr w:val="none" w:sz="0" w:space="0" w:color="auto" w:frame="1"/>
            <w:lang w:eastAsia="it-IT"/>
          </w:rPr>
          <w:t>https://www.crea.gov.it/whistleblowing</w:t>
        </w:r>
      </w:hyperlink>
      <w:r w:rsidR="00233861" w:rsidRPr="008E2B66">
        <w:rPr>
          <w:rStyle w:val="Collegamentoipertestuale"/>
          <w:rFonts w:ascii="Garamond" w:hAnsi="Garamond" w:cs="Arial"/>
          <w:color w:val="auto"/>
          <w:sz w:val="26"/>
          <w:szCs w:val="26"/>
          <w:bdr w:val="none" w:sz="0" w:space="0" w:color="auto" w:frame="1"/>
          <w:lang w:eastAsia="it-IT"/>
        </w:rPr>
        <w:t xml:space="preserve">   </w:t>
      </w:r>
      <w:r w:rsidRPr="008E2B66">
        <w:rPr>
          <w:rFonts w:ascii="Garamond" w:hAnsi="Garamond" w:cs="Arial"/>
          <w:sz w:val="26"/>
          <w:szCs w:val="26"/>
          <w:u w:color="000000"/>
          <w:bdr w:val="none" w:sz="0" w:space="0" w:color="auto" w:frame="1"/>
          <w:lang w:eastAsia="it-IT"/>
        </w:rPr>
        <w:t xml:space="preserve"> </w:t>
      </w:r>
    </w:p>
    <w:p w14:paraId="3571B3FC" w14:textId="64B456F8" w:rsidR="008F2D88" w:rsidRPr="008E2B66" w:rsidRDefault="00E16F51" w:rsidP="00B92605">
      <w:pPr>
        <w:spacing w:after="80" w:line="276" w:lineRule="auto"/>
        <w:jc w:val="both"/>
        <w:rPr>
          <w:rFonts w:ascii="Garamond" w:hAnsi="Garamond" w:cs="Arial"/>
          <w:sz w:val="26"/>
          <w:szCs w:val="26"/>
          <w:u w:color="000000"/>
          <w:lang w:eastAsia="it-IT"/>
        </w:rPr>
      </w:pPr>
      <w:r w:rsidRPr="008E2B66">
        <w:rPr>
          <w:rFonts w:ascii="Garamond" w:hAnsi="Garamond" w:cs="Arial"/>
          <w:sz w:val="26"/>
          <w:szCs w:val="26"/>
          <w:u w:color="000000"/>
          <w:lang w:eastAsia="it-IT"/>
        </w:rPr>
        <w:lastRenderedPageBreak/>
        <w:t xml:space="preserve">A seguito </w:t>
      </w:r>
      <w:r w:rsidR="0001507B" w:rsidRPr="008E2B66">
        <w:rPr>
          <w:rFonts w:ascii="Garamond" w:hAnsi="Garamond" w:cs="Arial"/>
          <w:sz w:val="26"/>
          <w:szCs w:val="26"/>
          <w:u w:color="000000"/>
          <w:lang w:eastAsia="it-IT"/>
        </w:rPr>
        <w:t>dell’adozione</w:t>
      </w:r>
      <w:r w:rsidRPr="008E2B66">
        <w:rPr>
          <w:rFonts w:ascii="Garamond" w:hAnsi="Garamond" w:cs="Arial"/>
          <w:sz w:val="26"/>
          <w:szCs w:val="26"/>
          <w:u w:color="000000"/>
          <w:lang w:eastAsia="it-IT"/>
        </w:rPr>
        <w:t xml:space="preserve"> della piattaforma informatica</w:t>
      </w:r>
      <w:r w:rsidR="003061FD" w:rsidRPr="008E2B66">
        <w:rPr>
          <w:rFonts w:ascii="Garamond" w:hAnsi="Garamond" w:cs="Arial"/>
          <w:sz w:val="26"/>
          <w:szCs w:val="26"/>
          <w:u w:color="000000"/>
          <w:lang w:eastAsia="it-IT"/>
        </w:rPr>
        <w:t xml:space="preserve"> crittografata sopra menzionata e </w:t>
      </w:r>
      <w:r w:rsidR="0001507B" w:rsidRPr="008E2B66">
        <w:rPr>
          <w:rFonts w:ascii="Garamond" w:hAnsi="Garamond" w:cs="Arial"/>
          <w:sz w:val="26"/>
          <w:szCs w:val="26"/>
          <w:u w:color="000000"/>
          <w:lang w:eastAsia="it-IT"/>
        </w:rPr>
        <w:t>dell’aggiornamento</w:t>
      </w:r>
      <w:r w:rsidRPr="008E2B66">
        <w:rPr>
          <w:rFonts w:ascii="Garamond" w:hAnsi="Garamond" w:cs="Arial"/>
          <w:sz w:val="26"/>
          <w:szCs w:val="26"/>
          <w:u w:color="000000"/>
          <w:lang w:eastAsia="it-IT"/>
        </w:rPr>
        <w:t xml:space="preserve"> della procedura</w:t>
      </w:r>
      <w:r w:rsidR="003061FD" w:rsidRPr="008E2B66">
        <w:rPr>
          <w:rFonts w:ascii="Garamond" w:hAnsi="Garamond" w:cs="Arial"/>
          <w:sz w:val="26"/>
          <w:szCs w:val="26"/>
          <w:u w:color="000000"/>
          <w:lang w:eastAsia="it-IT"/>
        </w:rPr>
        <w:t xml:space="preserve"> </w:t>
      </w:r>
      <w:r w:rsidR="004F761C" w:rsidRPr="008E2B66">
        <w:rPr>
          <w:rFonts w:ascii="Garamond" w:hAnsi="Garamond" w:cs="Arial"/>
          <w:sz w:val="26"/>
          <w:szCs w:val="26"/>
          <w:u w:color="000000"/>
          <w:lang w:eastAsia="it-IT"/>
        </w:rPr>
        <w:t xml:space="preserve">in essere presso il </w:t>
      </w:r>
      <w:r w:rsidR="00033CFD" w:rsidRPr="00D55C44">
        <w:rPr>
          <w:rFonts w:ascii="Garamond" w:hAnsi="Garamond" w:cs="Arial"/>
          <w:sz w:val="26"/>
          <w:szCs w:val="26"/>
          <w:u w:color="000000"/>
          <w:lang w:eastAsia="it-IT"/>
        </w:rPr>
        <w:t>CREA</w:t>
      </w:r>
      <w:r w:rsidR="00033CFD" w:rsidRPr="00D55C44">
        <w:rPr>
          <w:rFonts w:ascii="Garamond" w:hAnsi="Garamond" w:cs="Arial"/>
          <w:b/>
          <w:bCs/>
          <w:sz w:val="26"/>
          <w:szCs w:val="26"/>
          <w:u w:color="000000"/>
          <w:lang w:eastAsia="it-IT"/>
        </w:rPr>
        <w:t xml:space="preserve"> </w:t>
      </w:r>
      <w:r w:rsidR="00D55C44" w:rsidRPr="00D55C44">
        <w:rPr>
          <w:rFonts w:ascii="Garamond" w:hAnsi="Garamond" w:cs="Arial"/>
          <w:sz w:val="26"/>
          <w:szCs w:val="26"/>
          <w:u w:color="000000"/>
          <w:lang w:eastAsia="it-IT"/>
        </w:rPr>
        <w:t xml:space="preserve">per la </w:t>
      </w:r>
      <w:r w:rsidR="00D97FD2" w:rsidRPr="00D55C44">
        <w:rPr>
          <w:rFonts w:ascii="Garamond" w:hAnsi="Garamond" w:cs="Arial"/>
          <w:sz w:val="26"/>
          <w:szCs w:val="26"/>
          <w:u w:color="000000"/>
          <w:lang w:eastAsia="it-IT"/>
        </w:rPr>
        <w:t>ricezione</w:t>
      </w:r>
      <w:r w:rsidRPr="00D55C44">
        <w:rPr>
          <w:rFonts w:ascii="Garamond" w:hAnsi="Garamond" w:cs="Arial"/>
          <w:sz w:val="26"/>
          <w:szCs w:val="26"/>
          <w:u w:color="000000"/>
          <w:lang w:eastAsia="it-IT"/>
        </w:rPr>
        <w:t xml:space="preserve"> e</w:t>
      </w:r>
      <w:r w:rsidRPr="008E2B66">
        <w:rPr>
          <w:rFonts w:ascii="Garamond" w:hAnsi="Garamond" w:cs="Arial"/>
          <w:sz w:val="26"/>
          <w:szCs w:val="26"/>
          <w:u w:color="000000"/>
          <w:lang w:eastAsia="it-IT"/>
        </w:rPr>
        <w:t xml:space="preserve"> la gestione delle segnalazioni interne</w:t>
      </w:r>
      <w:r w:rsidR="000B288F" w:rsidRPr="008E2B66">
        <w:rPr>
          <w:rFonts w:ascii="Garamond" w:hAnsi="Garamond" w:cs="Arial"/>
          <w:sz w:val="26"/>
          <w:szCs w:val="26"/>
          <w:u w:color="000000"/>
          <w:lang w:eastAsia="it-IT"/>
        </w:rPr>
        <w:t>,</w:t>
      </w:r>
      <w:r w:rsidR="003061FD" w:rsidRPr="008E2B66">
        <w:rPr>
          <w:rFonts w:ascii="Garamond" w:hAnsi="Garamond" w:cs="Arial"/>
          <w:sz w:val="26"/>
          <w:szCs w:val="26"/>
          <w:u w:color="000000"/>
          <w:lang w:eastAsia="it-IT"/>
        </w:rPr>
        <w:t xml:space="preserve"> l’Ufficio </w:t>
      </w:r>
      <w:r w:rsidR="00033CFD" w:rsidRPr="00D97FD2">
        <w:rPr>
          <w:rFonts w:ascii="Garamond" w:hAnsi="Garamond" w:cs="Arial"/>
          <w:i/>
          <w:iCs/>
          <w:sz w:val="26"/>
          <w:szCs w:val="26"/>
          <w:u w:color="000000"/>
          <w:lang w:eastAsia="it-IT"/>
        </w:rPr>
        <w:t>Trasparenza e anticorruzione</w:t>
      </w:r>
      <w:r w:rsidR="00D97FD2">
        <w:rPr>
          <w:rFonts w:ascii="Garamond" w:hAnsi="Garamond" w:cs="Arial"/>
          <w:i/>
          <w:iCs/>
          <w:sz w:val="26"/>
          <w:szCs w:val="26"/>
          <w:u w:color="000000"/>
          <w:lang w:eastAsia="it-IT"/>
        </w:rPr>
        <w:t xml:space="preserve"> </w:t>
      </w:r>
      <w:r w:rsidR="003061FD" w:rsidRPr="00D97FD2">
        <w:rPr>
          <w:rFonts w:ascii="Garamond" w:hAnsi="Garamond" w:cs="Arial"/>
          <w:i/>
          <w:iCs/>
          <w:sz w:val="26"/>
          <w:szCs w:val="26"/>
          <w:u w:color="000000"/>
          <w:lang w:eastAsia="it-IT"/>
        </w:rPr>
        <w:t>UDG2</w:t>
      </w:r>
      <w:r w:rsidR="003061FD" w:rsidRPr="008E2B66">
        <w:rPr>
          <w:rFonts w:ascii="Garamond" w:hAnsi="Garamond" w:cs="Arial"/>
          <w:sz w:val="26"/>
          <w:szCs w:val="26"/>
          <w:u w:color="000000"/>
          <w:lang w:eastAsia="it-IT"/>
        </w:rPr>
        <w:t xml:space="preserve"> ha predisposto alcune slides di presentazione del </w:t>
      </w:r>
      <w:r w:rsidR="0001507B" w:rsidRPr="008E2B66">
        <w:rPr>
          <w:rFonts w:ascii="Garamond" w:hAnsi="Garamond" w:cs="Arial"/>
          <w:sz w:val="26"/>
          <w:szCs w:val="26"/>
          <w:u w:color="000000"/>
          <w:lang w:eastAsia="it-IT"/>
        </w:rPr>
        <w:t xml:space="preserve">nuovo </w:t>
      </w:r>
      <w:r w:rsidR="003061FD" w:rsidRPr="008E2B66">
        <w:rPr>
          <w:rFonts w:ascii="Garamond" w:hAnsi="Garamond" w:cs="Arial"/>
          <w:sz w:val="26"/>
          <w:szCs w:val="26"/>
          <w:u w:color="000000"/>
          <w:lang w:eastAsia="it-IT"/>
        </w:rPr>
        <w:t xml:space="preserve">canale interno di segnalazione e un </w:t>
      </w:r>
      <w:r w:rsidR="00D97FD2" w:rsidRPr="00D97FD2">
        <w:rPr>
          <w:rFonts w:ascii="Garamond" w:hAnsi="Garamond" w:cs="Arial"/>
          <w:i/>
          <w:iCs/>
          <w:sz w:val="26"/>
          <w:szCs w:val="26"/>
          <w:u w:color="000000"/>
          <w:lang w:eastAsia="it-IT"/>
        </w:rPr>
        <w:t>M</w:t>
      </w:r>
      <w:r w:rsidR="003061FD" w:rsidRPr="00D97FD2">
        <w:rPr>
          <w:rFonts w:ascii="Garamond" w:hAnsi="Garamond" w:cs="Arial"/>
          <w:i/>
          <w:iCs/>
          <w:sz w:val="26"/>
          <w:szCs w:val="26"/>
          <w:u w:color="000000"/>
          <w:lang w:eastAsia="it-IT"/>
        </w:rPr>
        <w:t>anuale operativo</w:t>
      </w:r>
      <w:r w:rsidR="00C34BB7" w:rsidRPr="00D97FD2">
        <w:rPr>
          <w:rFonts w:ascii="Garamond" w:hAnsi="Garamond" w:cs="Arial"/>
          <w:i/>
          <w:iCs/>
          <w:sz w:val="26"/>
          <w:szCs w:val="26"/>
          <w:u w:color="000000"/>
          <w:lang w:eastAsia="it-IT"/>
        </w:rPr>
        <w:t xml:space="preserve"> whistleblower</w:t>
      </w:r>
      <w:r w:rsidR="003061FD" w:rsidRPr="008E2B66">
        <w:rPr>
          <w:rFonts w:ascii="Garamond" w:hAnsi="Garamond" w:cs="Arial"/>
          <w:sz w:val="26"/>
          <w:szCs w:val="26"/>
          <w:u w:color="000000"/>
          <w:lang w:eastAsia="it-IT"/>
        </w:rPr>
        <w:t xml:space="preserve"> che sono stati pubblicati nella sottosezione </w:t>
      </w:r>
      <w:r w:rsidR="003061FD" w:rsidRPr="00D97FD2">
        <w:rPr>
          <w:rFonts w:ascii="Garamond" w:hAnsi="Garamond" w:cs="Arial"/>
          <w:i/>
          <w:iCs/>
          <w:sz w:val="26"/>
          <w:szCs w:val="26"/>
          <w:u w:color="000000"/>
          <w:lang w:eastAsia="it-IT"/>
        </w:rPr>
        <w:t>Altri contenuti/Whistleblowing</w:t>
      </w:r>
      <w:r w:rsidR="003061FD" w:rsidRPr="008E2B66">
        <w:rPr>
          <w:rFonts w:ascii="Garamond" w:hAnsi="Garamond" w:cs="Arial"/>
          <w:sz w:val="26"/>
          <w:szCs w:val="26"/>
          <w:u w:color="000000"/>
          <w:lang w:eastAsia="it-IT"/>
        </w:rPr>
        <w:t xml:space="preserve"> </w:t>
      </w:r>
      <w:r w:rsidR="00D97FD2">
        <w:rPr>
          <w:rFonts w:ascii="Garamond" w:hAnsi="Garamond" w:cs="Arial"/>
          <w:sz w:val="26"/>
          <w:szCs w:val="26"/>
          <w:u w:color="000000"/>
          <w:lang w:eastAsia="it-IT"/>
        </w:rPr>
        <w:t xml:space="preserve">in </w:t>
      </w:r>
      <w:r w:rsidR="003061FD" w:rsidRPr="00D97FD2">
        <w:rPr>
          <w:rFonts w:ascii="Garamond" w:hAnsi="Garamond" w:cs="Arial"/>
          <w:i/>
          <w:iCs/>
          <w:sz w:val="26"/>
          <w:szCs w:val="26"/>
          <w:u w:color="000000"/>
          <w:lang w:eastAsia="it-IT"/>
        </w:rPr>
        <w:t>Amministrazione Trasparente.</w:t>
      </w:r>
      <w:r w:rsidR="00D97FD2">
        <w:rPr>
          <w:rFonts w:ascii="Garamond" w:hAnsi="Garamond" w:cs="Arial"/>
          <w:sz w:val="26"/>
          <w:szCs w:val="26"/>
          <w:u w:color="000000"/>
          <w:lang w:eastAsia="it-IT"/>
        </w:rPr>
        <w:t>; l’</w:t>
      </w:r>
      <w:r w:rsidR="00435213" w:rsidRPr="008E2B66">
        <w:rPr>
          <w:rFonts w:ascii="Garamond" w:hAnsi="Garamond" w:cs="Arial"/>
          <w:sz w:val="26"/>
          <w:szCs w:val="26"/>
          <w:u w:color="000000"/>
          <w:lang w:eastAsia="it-IT"/>
        </w:rPr>
        <w:t xml:space="preserve">avvenuta pubblicazione è stata </w:t>
      </w:r>
      <w:r w:rsidR="00D97FD2">
        <w:rPr>
          <w:rFonts w:ascii="Garamond" w:hAnsi="Garamond" w:cs="Arial"/>
          <w:sz w:val="26"/>
          <w:szCs w:val="26"/>
          <w:u w:color="000000"/>
          <w:lang w:eastAsia="it-IT"/>
        </w:rPr>
        <w:t>comunicata</w:t>
      </w:r>
      <w:r w:rsidR="00435213" w:rsidRPr="008E2B66">
        <w:rPr>
          <w:rFonts w:ascii="Garamond" w:hAnsi="Garamond" w:cs="Arial"/>
          <w:sz w:val="26"/>
          <w:szCs w:val="26"/>
          <w:u w:color="000000"/>
          <w:lang w:eastAsia="it-IT"/>
        </w:rPr>
        <w:t xml:space="preserve"> a</w:t>
      </w:r>
      <w:r w:rsidR="00D97FD2">
        <w:rPr>
          <w:rFonts w:ascii="Garamond" w:hAnsi="Garamond" w:cs="Arial"/>
          <w:sz w:val="26"/>
          <w:szCs w:val="26"/>
          <w:u w:color="000000"/>
          <w:lang w:eastAsia="it-IT"/>
        </w:rPr>
        <w:t xml:space="preserve"> tutto il</w:t>
      </w:r>
      <w:r w:rsidR="00435213" w:rsidRPr="008E2B66">
        <w:rPr>
          <w:rFonts w:ascii="Garamond" w:hAnsi="Garamond" w:cs="Arial"/>
          <w:sz w:val="26"/>
          <w:szCs w:val="26"/>
          <w:u w:color="000000"/>
          <w:lang w:eastAsia="it-IT"/>
        </w:rPr>
        <w:t xml:space="preserve"> personale in data 19</w:t>
      </w:r>
      <w:r w:rsidR="00D97FD2">
        <w:rPr>
          <w:rFonts w:ascii="Garamond" w:hAnsi="Garamond" w:cs="Arial"/>
          <w:sz w:val="26"/>
          <w:szCs w:val="26"/>
          <w:u w:color="000000"/>
          <w:lang w:eastAsia="it-IT"/>
        </w:rPr>
        <w:t xml:space="preserve"> giugno </w:t>
      </w:r>
      <w:r w:rsidR="00435213" w:rsidRPr="008E2B66">
        <w:rPr>
          <w:rFonts w:ascii="Garamond" w:hAnsi="Garamond" w:cs="Arial"/>
          <w:sz w:val="26"/>
          <w:szCs w:val="26"/>
          <w:u w:color="000000"/>
          <w:lang w:eastAsia="it-IT"/>
        </w:rPr>
        <w:t>2024.</w:t>
      </w:r>
    </w:p>
    <w:p w14:paraId="41FB1205" w14:textId="77777777" w:rsidR="00B92605" w:rsidRDefault="00B92605" w:rsidP="000D0025">
      <w:pPr>
        <w:autoSpaceDE w:val="0"/>
        <w:autoSpaceDN w:val="0"/>
        <w:adjustRightInd w:val="0"/>
        <w:spacing w:line="360" w:lineRule="auto"/>
        <w:jc w:val="both"/>
        <w:rPr>
          <w:rFonts w:ascii="Garamond" w:eastAsia="Arial Unicode MS" w:hAnsi="Garamond" w:cs="Arial"/>
          <w:b/>
          <w:bCs/>
          <w:sz w:val="26"/>
          <w:szCs w:val="26"/>
          <w:u w:color="000000"/>
          <w:bdr w:val="nil"/>
          <w:lang w:eastAsia="it-IT"/>
        </w:rPr>
      </w:pPr>
    </w:p>
    <w:p w14:paraId="6B62857E" w14:textId="54B86B59" w:rsidR="00561844" w:rsidRPr="008E2B66" w:rsidRDefault="00561844" w:rsidP="000D0025">
      <w:pPr>
        <w:autoSpaceDE w:val="0"/>
        <w:autoSpaceDN w:val="0"/>
        <w:adjustRightInd w:val="0"/>
        <w:spacing w:line="360" w:lineRule="auto"/>
        <w:jc w:val="both"/>
        <w:rPr>
          <w:rFonts w:ascii="Garamond" w:eastAsia="Arial Unicode MS" w:hAnsi="Garamond" w:cs="Arial"/>
          <w:b/>
          <w:bCs/>
          <w:sz w:val="26"/>
          <w:szCs w:val="26"/>
          <w:u w:color="000000"/>
          <w:bdr w:val="nil"/>
          <w:lang w:eastAsia="it-IT"/>
        </w:rPr>
      </w:pPr>
      <w:r w:rsidRPr="008E2B66">
        <w:rPr>
          <w:rFonts w:ascii="Garamond" w:eastAsia="Arial Unicode MS" w:hAnsi="Garamond" w:cs="Arial"/>
          <w:b/>
          <w:bCs/>
          <w:sz w:val="26"/>
          <w:szCs w:val="26"/>
          <w:u w:color="000000"/>
          <w:bdr w:val="nil"/>
          <w:lang w:eastAsia="it-IT"/>
        </w:rPr>
        <w:t>Monitoraggio dei tempi procedimentali</w:t>
      </w:r>
    </w:p>
    <w:p w14:paraId="6CDE062B" w14:textId="75794261" w:rsidR="00561844" w:rsidRPr="008E2B66" w:rsidRDefault="00B92605" w:rsidP="00352748">
      <w:pPr>
        <w:autoSpaceDE w:val="0"/>
        <w:autoSpaceDN w:val="0"/>
        <w:adjustRightInd w:val="0"/>
        <w:spacing w:after="80" w:line="276" w:lineRule="auto"/>
        <w:jc w:val="both"/>
        <w:rPr>
          <w:rFonts w:ascii="Garamond" w:hAnsi="Garamond" w:cs="Arial"/>
          <w:sz w:val="26"/>
          <w:szCs w:val="26"/>
          <w:u w:color="000000"/>
        </w:rPr>
      </w:pPr>
      <w:r>
        <w:rPr>
          <w:rFonts w:ascii="Garamond" w:hAnsi="Garamond" w:cs="Arial"/>
          <w:sz w:val="26"/>
          <w:szCs w:val="26"/>
          <w:u w:color="000000"/>
        </w:rPr>
        <w:t>L’</w:t>
      </w:r>
      <w:r w:rsidR="00561844" w:rsidRPr="008E2B66">
        <w:rPr>
          <w:rFonts w:ascii="Garamond" w:hAnsi="Garamond" w:cs="Arial"/>
          <w:sz w:val="26"/>
          <w:szCs w:val="26"/>
          <w:u w:color="000000"/>
        </w:rPr>
        <w:t xml:space="preserve">obiettivo perseguito attraverso la misura </w:t>
      </w:r>
      <w:r w:rsidR="009B7038" w:rsidRPr="008E2B66">
        <w:rPr>
          <w:rFonts w:ascii="Garamond" w:hAnsi="Garamond" w:cs="Arial"/>
          <w:sz w:val="26"/>
          <w:szCs w:val="26"/>
          <w:u w:color="000000"/>
        </w:rPr>
        <w:t xml:space="preserve">del </w:t>
      </w:r>
      <w:r w:rsidR="00561844" w:rsidRPr="008E2B66">
        <w:rPr>
          <w:rFonts w:ascii="Garamond" w:hAnsi="Garamond" w:cs="Arial"/>
          <w:i/>
          <w:iCs/>
          <w:sz w:val="26"/>
          <w:szCs w:val="26"/>
          <w:u w:color="000000"/>
        </w:rPr>
        <w:t>Monitoraggio dei tempi procedimentali</w:t>
      </w:r>
      <w:r w:rsidR="00561844" w:rsidRPr="008E2B66">
        <w:rPr>
          <w:rFonts w:ascii="Garamond" w:hAnsi="Garamond" w:cs="Arial"/>
          <w:sz w:val="26"/>
          <w:szCs w:val="26"/>
          <w:u w:color="000000"/>
        </w:rPr>
        <w:t xml:space="preserve"> è quello di consentire l’attuazione di due diversi adempimenti tra loro strettamente connessi: da un lato </w:t>
      </w:r>
      <w:r w:rsidR="00217896" w:rsidRPr="008E2B66">
        <w:rPr>
          <w:rFonts w:ascii="Garamond" w:hAnsi="Garamond" w:cs="Arial"/>
          <w:sz w:val="26"/>
          <w:szCs w:val="26"/>
          <w:u w:color="000000"/>
        </w:rPr>
        <w:t>quello previsto dall’art.</w:t>
      </w:r>
      <w:r w:rsidR="00561844" w:rsidRPr="008E2B66">
        <w:rPr>
          <w:rFonts w:ascii="Garamond" w:hAnsi="Garamond" w:cs="Arial"/>
          <w:sz w:val="26"/>
          <w:szCs w:val="26"/>
          <w:u w:color="000000"/>
        </w:rPr>
        <w:t xml:space="preserve"> 35 del </w:t>
      </w:r>
      <w:r w:rsidR="00566AE6" w:rsidRPr="008E2B66">
        <w:rPr>
          <w:rFonts w:ascii="Garamond" w:hAnsi="Garamond" w:cs="Arial"/>
          <w:sz w:val="26"/>
          <w:szCs w:val="26"/>
          <w:u w:color="000000"/>
        </w:rPr>
        <w:t>D</w:t>
      </w:r>
      <w:r w:rsidR="00561844" w:rsidRPr="008E2B66">
        <w:rPr>
          <w:rFonts w:ascii="Garamond" w:hAnsi="Garamond" w:cs="Arial"/>
          <w:sz w:val="26"/>
          <w:szCs w:val="26"/>
          <w:u w:color="000000"/>
        </w:rPr>
        <w:t>lgs. n. 33/2013</w:t>
      </w:r>
      <w:r w:rsidR="00217896" w:rsidRPr="008E2B66">
        <w:rPr>
          <w:rFonts w:ascii="Garamond" w:hAnsi="Garamond" w:cs="Arial"/>
          <w:sz w:val="26"/>
          <w:szCs w:val="26"/>
          <w:u w:color="000000"/>
        </w:rPr>
        <w:t>, relativo alla pubblicazione dei procedimenti amministrativi con riferimento alle informazioni prescritte dalla predett</w:t>
      </w:r>
      <w:r w:rsidR="00841DD6" w:rsidRPr="008E2B66">
        <w:rPr>
          <w:rFonts w:ascii="Garamond" w:hAnsi="Garamond" w:cs="Arial"/>
          <w:sz w:val="26"/>
          <w:szCs w:val="26"/>
          <w:u w:color="000000"/>
        </w:rPr>
        <w:t>a</w:t>
      </w:r>
      <w:r w:rsidR="00217896" w:rsidRPr="008E2B66">
        <w:rPr>
          <w:rFonts w:ascii="Garamond" w:hAnsi="Garamond" w:cs="Arial"/>
          <w:sz w:val="26"/>
          <w:szCs w:val="26"/>
          <w:u w:color="000000"/>
        </w:rPr>
        <w:t xml:space="preserve"> disposizione</w:t>
      </w:r>
      <w:r w:rsidR="00D97FD2">
        <w:rPr>
          <w:rFonts w:ascii="Garamond" w:hAnsi="Garamond" w:cs="Arial"/>
          <w:sz w:val="26"/>
          <w:szCs w:val="26"/>
          <w:u w:color="000000"/>
        </w:rPr>
        <w:t xml:space="preserve">; </w:t>
      </w:r>
      <w:r w:rsidR="00561844" w:rsidRPr="008E2B66">
        <w:rPr>
          <w:rFonts w:ascii="Garamond" w:hAnsi="Garamond" w:cs="Arial"/>
          <w:sz w:val="26"/>
          <w:szCs w:val="26"/>
          <w:u w:color="000000"/>
        </w:rPr>
        <w:t>dall’altro la realizzazione della misura generale del monitoraggio dei tempi procedimentali, che presuppone una mappatura attuale dei procedimenti.</w:t>
      </w:r>
    </w:p>
    <w:p w14:paraId="63530ED4" w14:textId="47F47EB8" w:rsidR="00D25BA3" w:rsidRPr="008E2B66" w:rsidRDefault="009B7038" w:rsidP="00352748">
      <w:pPr>
        <w:autoSpaceDE w:val="0"/>
        <w:autoSpaceDN w:val="0"/>
        <w:adjustRightInd w:val="0"/>
        <w:spacing w:after="80" w:line="276" w:lineRule="auto"/>
        <w:jc w:val="both"/>
        <w:rPr>
          <w:rFonts w:ascii="Garamond" w:hAnsi="Garamond" w:cs="Arial"/>
          <w:sz w:val="26"/>
          <w:szCs w:val="26"/>
          <w:u w:color="000000"/>
        </w:rPr>
      </w:pPr>
      <w:r w:rsidRPr="008E2B66">
        <w:rPr>
          <w:rFonts w:ascii="Garamond" w:hAnsi="Garamond" w:cs="Arial"/>
          <w:sz w:val="26"/>
          <w:szCs w:val="26"/>
          <w:u w:color="000000"/>
        </w:rPr>
        <w:t xml:space="preserve">L’aggiornamento della mappatura </w:t>
      </w:r>
      <w:r w:rsidR="00D25BA3" w:rsidRPr="008E2B66">
        <w:rPr>
          <w:rFonts w:ascii="Garamond" w:hAnsi="Garamond" w:cs="Arial"/>
          <w:sz w:val="26"/>
          <w:szCs w:val="26"/>
          <w:u w:color="000000"/>
        </w:rPr>
        <w:t xml:space="preserve">dei procedimenti </w:t>
      </w:r>
      <w:r w:rsidRPr="008E2B66">
        <w:rPr>
          <w:rFonts w:ascii="Garamond" w:hAnsi="Garamond" w:cs="Arial"/>
          <w:sz w:val="26"/>
          <w:szCs w:val="26"/>
          <w:u w:color="000000"/>
        </w:rPr>
        <w:t>è stato effettuato nel corso del 2021</w:t>
      </w:r>
      <w:r w:rsidR="00D25BA3" w:rsidRPr="008E2B66">
        <w:rPr>
          <w:rFonts w:ascii="Garamond" w:hAnsi="Garamond" w:cs="Arial"/>
          <w:sz w:val="26"/>
          <w:szCs w:val="26"/>
          <w:u w:color="000000"/>
        </w:rPr>
        <w:t xml:space="preserve"> e pubblicato </w:t>
      </w:r>
      <w:r w:rsidR="00561844" w:rsidRPr="008E2B66">
        <w:rPr>
          <w:rFonts w:ascii="Garamond" w:hAnsi="Garamond" w:cs="Arial"/>
          <w:sz w:val="26"/>
          <w:szCs w:val="26"/>
          <w:u w:color="000000"/>
        </w:rPr>
        <w:t xml:space="preserve">nella sezione </w:t>
      </w:r>
      <w:r w:rsidR="00561844" w:rsidRPr="00D97FD2">
        <w:rPr>
          <w:rFonts w:ascii="Garamond" w:hAnsi="Garamond" w:cs="Arial"/>
          <w:i/>
          <w:iCs/>
          <w:sz w:val="26"/>
          <w:szCs w:val="26"/>
          <w:u w:color="000000"/>
        </w:rPr>
        <w:t>Attività e Procedimenti</w:t>
      </w:r>
      <w:r w:rsidR="00D97FD2">
        <w:rPr>
          <w:rFonts w:ascii="Garamond" w:hAnsi="Garamond" w:cs="Arial"/>
          <w:sz w:val="26"/>
          <w:szCs w:val="26"/>
          <w:u w:color="000000"/>
        </w:rPr>
        <w:t xml:space="preserve"> in </w:t>
      </w:r>
      <w:r w:rsidR="00561844" w:rsidRPr="00D97FD2">
        <w:rPr>
          <w:rFonts w:ascii="Garamond" w:hAnsi="Garamond" w:cs="Arial"/>
          <w:i/>
          <w:iCs/>
          <w:sz w:val="26"/>
          <w:szCs w:val="26"/>
          <w:u w:color="000000"/>
        </w:rPr>
        <w:t>Amministrazione trasparente</w:t>
      </w:r>
      <w:r w:rsidR="00561844" w:rsidRPr="008E2B66">
        <w:rPr>
          <w:rFonts w:ascii="Garamond" w:hAnsi="Garamond" w:cs="Arial"/>
          <w:sz w:val="26"/>
          <w:szCs w:val="26"/>
          <w:u w:color="000000"/>
        </w:rPr>
        <w:t xml:space="preserve"> ai sensi dell’art. </w:t>
      </w:r>
      <w:r w:rsidR="00217896" w:rsidRPr="008E2B66">
        <w:rPr>
          <w:rFonts w:ascii="Garamond" w:hAnsi="Garamond" w:cs="Arial"/>
          <w:sz w:val="26"/>
          <w:szCs w:val="26"/>
          <w:u w:color="000000"/>
        </w:rPr>
        <w:t>35 del</w:t>
      </w:r>
      <w:r w:rsidR="00561844" w:rsidRPr="008E2B66">
        <w:rPr>
          <w:rFonts w:ascii="Garamond" w:hAnsi="Garamond" w:cs="Arial"/>
          <w:sz w:val="26"/>
          <w:szCs w:val="26"/>
          <w:u w:color="000000"/>
        </w:rPr>
        <w:t xml:space="preserve"> </w:t>
      </w:r>
      <w:r w:rsidR="00566AE6" w:rsidRPr="008E2B66">
        <w:rPr>
          <w:rFonts w:ascii="Garamond" w:hAnsi="Garamond" w:cs="Arial"/>
          <w:sz w:val="26"/>
          <w:szCs w:val="26"/>
          <w:u w:color="000000"/>
        </w:rPr>
        <w:t>D</w:t>
      </w:r>
      <w:r w:rsidR="00561844" w:rsidRPr="008E2B66">
        <w:rPr>
          <w:rFonts w:ascii="Garamond" w:hAnsi="Garamond" w:cs="Arial"/>
          <w:sz w:val="26"/>
          <w:szCs w:val="26"/>
          <w:u w:color="000000"/>
        </w:rPr>
        <w:t>lgs. n. 33/2013</w:t>
      </w:r>
      <w:r w:rsidR="001F06E8" w:rsidRPr="008E2B66">
        <w:rPr>
          <w:rFonts w:ascii="Garamond" w:hAnsi="Garamond" w:cs="Arial"/>
          <w:sz w:val="26"/>
          <w:szCs w:val="26"/>
          <w:u w:color="000000"/>
        </w:rPr>
        <w:t xml:space="preserve"> (</w:t>
      </w:r>
      <w:hyperlink r:id="rId21" w:history="1">
        <w:r w:rsidR="00033CFD" w:rsidRPr="008E2B66">
          <w:rPr>
            <w:rStyle w:val="Collegamentoipertestuale"/>
            <w:rFonts w:ascii="Garamond" w:hAnsi="Garamond" w:cs="Arial"/>
            <w:sz w:val="26"/>
            <w:szCs w:val="26"/>
          </w:rPr>
          <w:t>https://www.crea.gov.it/tipologie-di-procedimento</w:t>
        </w:r>
      </w:hyperlink>
      <w:r w:rsidR="001F06E8" w:rsidRPr="008E2B66">
        <w:rPr>
          <w:rStyle w:val="Collegamentoipertestuale"/>
          <w:rFonts w:ascii="Garamond" w:hAnsi="Garamond" w:cs="Arial"/>
          <w:color w:val="auto"/>
          <w:sz w:val="26"/>
          <w:szCs w:val="26"/>
          <w:u w:val="none"/>
        </w:rPr>
        <w:t>)</w:t>
      </w:r>
      <w:r w:rsidR="00217896" w:rsidRPr="008E2B66">
        <w:rPr>
          <w:rStyle w:val="Collegamentoipertestuale"/>
          <w:rFonts w:ascii="Garamond" w:hAnsi="Garamond" w:cs="Arial"/>
          <w:color w:val="auto"/>
          <w:sz w:val="26"/>
          <w:szCs w:val="26"/>
          <w:u w:val="none"/>
        </w:rPr>
        <w:t>.</w:t>
      </w:r>
    </w:p>
    <w:p w14:paraId="54F7AFC3" w14:textId="649133C2" w:rsidR="00F008BF" w:rsidRPr="008E2B66" w:rsidRDefault="00217896" w:rsidP="00352748">
      <w:pPr>
        <w:autoSpaceDE w:val="0"/>
        <w:autoSpaceDN w:val="0"/>
        <w:adjustRightInd w:val="0"/>
        <w:spacing w:after="80" w:line="276" w:lineRule="auto"/>
        <w:jc w:val="both"/>
        <w:rPr>
          <w:rFonts w:ascii="Garamond" w:hAnsi="Garamond" w:cs="Arial"/>
          <w:sz w:val="26"/>
          <w:szCs w:val="26"/>
          <w:u w:color="000000"/>
        </w:rPr>
      </w:pPr>
      <w:r w:rsidRPr="008E2B66">
        <w:rPr>
          <w:rFonts w:ascii="Garamond" w:hAnsi="Garamond" w:cs="Arial"/>
          <w:sz w:val="26"/>
          <w:szCs w:val="26"/>
          <w:u w:color="000000"/>
        </w:rPr>
        <w:t xml:space="preserve">Il </w:t>
      </w:r>
      <w:r w:rsidR="00D25BA3" w:rsidRPr="008E2B66">
        <w:rPr>
          <w:rFonts w:ascii="Garamond" w:hAnsi="Garamond" w:cs="Arial"/>
          <w:sz w:val="26"/>
          <w:szCs w:val="26"/>
          <w:u w:color="000000"/>
        </w:rPr>
        <w:t>RPCT</w:t>
      </w:r>
      <w:r w:rsidR="00D97FD2">
        <w:rPr>
          <w:rFonts w:ascii="Garamond" w:hAnsi="Garamond" w:cs="Arial"/>
          <w:sz w:val="26"/>
          <w:szCs w:val="26"/>
          <w:u w:color="000000"/>
        </w:rPr>
        <w:t>,</w:t>
      </w:r>
      <w:r w:rsidR="00D25BA3" w:rsidRPr="008E2B66">
        <w:rPr>
          <w:rFonts w:ascii="Garamond" w:hAnsi="Garamond" w:cs="Arial"/>
          <w:sz w:val="26"/>
          <w:szCs w:val="26"/>
          <w:u w:color="000000"/>
        </w:rPr>
        <w:t xml:space="preserve"> </w:t>
      </w:r>
      <w:r w:rsidR="004F761C" w:rsidRPr="008E2B66">
        <w:rPr>
          <w:rFonts w:ascii="Garamond" w:hAnsi="Garamond" w:cs="Arial"/>
          <w:sz w:val="26"/>
          <w:szCs w:val="26"/>
          <w:u w:color="000000"/>
        </w:rPr>
        <w:t>nell’ambito delle verifiche periodiche</w:t>
      </w:r>
      <w:r w:rsidR="00D97FD2">
        <w:rPr>
          <w:rFonts w:ascii="Garamond" w:hAnsi="Garamond" w:cs="Arial"/>
          <w:sz w:val="26"/>
          <w:szCs w:val="26"/>
          <w:u w:color="000000"/>
        </w:rPr>
        <w:t>,</w:t>
      </w:r>
      <w:r w:rsidR="004F761C" w:rsidRPr="008E2B66">
        <w:rPr>
          <w:rFonts w:ascii="Garamond" w:hAnsi="Garamond" w:cs="Arial"/>
          <w:sz w:val="26"/>
          <w:szCs w:val="26"/>
          <w:u w:color="000000"/>
        </w:rPr>
        <w:t xml:space="preserve"> </w:t>
      </w:r>
      <w:r w:rsidR="00D25BA3" w:rsidRPr="008E2B66">
        <w:rPr>
          <w:rFonts w:ascii="Garamond" w:hAnsi="Garamond" w:cs="Arial"/>
          <w:sz w:val="26"/>
          <w:szCs w:val="26"/>
          <w:u w:color="000000"/>
        </w:rPr>
        <w:t>richiede a</w:t>
      </w:r>
      <w:r w:rsidR="007E5CA4" w:rsidRPr="008E2B66">
        <w:rPr>
          <w:rFonts w:ascii="Garamond" w:hAnsi="Garamond" w:cs="Arial"/>
          <w:sz w:val="26"/>
          <w:szCs w:val="26"/>
          <w:u w:color="000000"/>
        </w:rPr>
        <w:t>i Dirigenti degli</w:t>
      </w:r>
      <w:r w:rsidR="00D25BA3" w:rsidRPr="008E2B66">
        <w:rPr>
          <w:rFonts w:ascii="Garamond" w:hAnsi="Garamond" w:cs="Arial"/>
          <w:sz w:val="26"/>
          <w:szCs w:val="26"/>
          <w:u w:color="000000"/>
        </w:rPr>
        <w:t xml:space="preserve"> Uffici e</w:t>
      </w:r>
      <w:r w:rsidRPr="008E2B66">
        <w:rPr>
          <w:rFonts w:ascii="Garamond" w:hAnsi="Garamond" w:cs="Arial"/>
          <w:sz w:val="26"/>
          <w:szCs w:val="26"/>
          <w:u w:color="000000"/>
        </w:rPr>
        <w:t xml:space="preserve"> ai Direttori</w:t>
      </w:r>
      <w:r w:rsidR="00D25BA3" w:rsidRPr="008E2B66">
        <w:rPr>
          <w:rFonts w:ascii="Garamond" w:hAnsi="Garamond" w:cs="Arial"/>
          <w:sz w:val="26"/>
          <w:szCs w:val="26"/>
          <w:u w:color="000000"/>
        </w:rPr>
        <w:t xml:space="preserve"> </w:t>
      </w:r>
      <w:r w:rsidR="007E5CA4" w:rsidRPr="008E2B66">
        <w:rPr>
          <w:rFonts w:ascii="Garamond" w:hAnsi="Garamond" w:cs="Arial"/>
          <w:sz w:val="26"/>
          <w:szCs w:val="26"/>
          <w:u w:color="000000"/>
        </w:rPr>
        <w:t xml:space="preserve">dei </w:t>
      </w:r>
      <w:r w:rsidR="00D25BA3" w:rsidRPr="008E2B66">
        <w:rPr>
          <w:rFonts w:ascii="Garamond" w:hAnsi="Garamond" w:cs="Arial"/>
          <w:sz w:val="26"/>
          <w:szCs w:val="26"/>
          <w:u w:color="000000"/>
        </w:rPr>
        <w:t xml:space="preserve">Centri </w:t>
      </w:r>
      <w:r w:rsidR="00D97FD2">
        <w:rPr>
          <w:rFonts w:ascii="Garamond" w:hAnsi="Garamond" w:cs="Arial"/>
          <w:sz w:val="26"/>
          <w:szCs w:val="26"/>
          <w:u w:color="000000"/>
        </w:rPr>
        <w:t xml:space="preserve">di ricerca, </w:t>
      </w:r>
      <w:r w:rsidRPr="008E2B66">
        <w:rPr>
          <w:rFonts w:ascii="Garamond" w:hAnsi="Garamond" w:cs="Arial"/>
          <w:sz w:val="26"/>
          <w:szCs w:val="26"/>
          <w:u w:color="000000"/>
        </w:rPr>
        <w:t>di at</w:t>
      </w:r>
      <w:r w:rsidR="004F761C" w:rsidRPr="008E2B66">
        <w:rPr>
          <w:rFonts w:ascii="Garamond" w:hAnsi="Garamond" w:cs="Arial"/>
          <w:sz w:val="26"/>
          <w:szCs w:val="26"/>
          <w:u w:color="000000"/>
        </w:rPr>
        <w:t>te</w:t>
      </w:r>
      <w:r w:rsidRPr="008E2B66">
        <w:rPr>
          <w:rFonts w:ascii="Garamond" w:hAnsi="Garamond" w:cs="Arial"/>
          <w:sz w:val="26"/>
          <w:szCs w:val="26"/>
          <w:u w:color="000000"/>
        </w:rPr>
        <w:t>stare</w:t>
      </w:r>
      <w:r w:rsidR="00D25BA3" w:rsidRPr="008E2B66">
        <w:rPr>
          <w:rFonts w:ascii="Garamond" w:hAnsi="Garamond" w:cs="Arial"/>
          <w:sz w:val="26"/>
          <w:szCs w:val="26"/>
          <w:u w:color="000000"/>
        </w:rPr>
        <w:t xml:space="preserve"> </w:t>
      </w:r>
      <w:r w:rsidRPr="008E2B66">
        <w:rPr>
          <w:rFonts w:ascii="Garamond" w:hAnsi="Garamond" w:cs="Arial"/>
          <w:sz w:val="26"/>
          <w:szCs w:val="26"/>
          <w:u w:color="000000"/>
        </w:rPr>
        <w:t xml:space="preserve">l’avvenuto </w:t>
      </w:r>
      <w:r w:rsidR="00EF7C72" w:rsidRPr="008E2B66">
        <w:rPr>
          <w:rFonts w:ascii="Garamond" w:hAnsi="Garamond" w:cs="Arial"/>
          <w:sz w:val="26"/>
          <w:szCs w:val="26"/>
          <w:u w:color="000000"/>
        </w:rPr>
        <w:t>monitoraggio sul rispetto dei tempi procedimentali</w:t>
      </w:r>
      <w:r w:rsidR="00C3217F" w:rsidRPr="008E2B66">
        <w:rPr>
          <w:rFonts w:ascii="Garamond" w:hAnsi="Garamond" w:cs="Arial"/>
          <w:sz w:val="26"/>
          <w:szCs w:val="26"/>
          <w:u w:color="000000"/>
        </w:rPr>
        <w:t xml:space="preserve"> </w:t>
      </w:r>
      <w:r w:rsidR="00D97FD2">
        <w:rPr>
          <w:rFonts w:ascii="Garamond" w:hAnsi="Garamond" w:cs="Arial"/>
          <w:sz w:val="26"/>
          <w:szCs w:val="26"/>
          <w:u w:color="000000"/>
        </w:rPr>
        <w:t xml:space="preserve">compresa </w:t>
      </w:r>
      <w:r w:rsidR="004F761C" w:rsidRPr="008E2B66">
        <w:rPr>
          <w:rFonts w:ascii="Garamond" w:hAnsi="Garamond" w:cs="Arial"/>
          <w:sz w:val="26"/>
          <w:szCs w:val="26"/>
          <w:u w:color="000000"/>
        </w:rPr>
        <w:t xml:space="preserve">l’eventuale </w:t>
      </w:r>
      <w:r w:rsidR="00033CFD" w:rsidRPr="008E2B66">
        <w:rPr>
          <w:rFonts w:ascii="Garamond" w:hAnsi="Garamond" w:cs="Arial"/>
          <w:sz w:val="26"/>
          <w:szCs w:val="26"/>
          <w:u w:color="000000"/>
        </w:rPr>
        <w:t>sussistenza di</w:t>
      </w:r>
      <w:r w:rsidR="00EF7C72" w:rsidRPr="008E2B66">
        <w:rPr>
          <w:rFonts w:ascii="Garamond" w:hAnsi="Garamond" w:cs="Arial"/>
          <w:sz w:val="26"/>
          <w:szCs w:val="26"/>
          <w:u w:color="000000"/>
        </w:rPr>
        <w:t xml:space="preserve"> ritardi nella conclusione </w:t>
      </w:r>
      <w:r w:rsidR="00BE3335" w:rsidRPr="008E2B66">
        <w:rPr>
          <w:rFonts w:ascii="Garamond" w:hAnsi="Garamond" w:cs="Arial"/>
          <w:sz w:val="26"/>
          <w:szCs w:val="26"/>
          <w:u w:color="000000"/>
        </w:rPr>
        <w:t xml:space="preserve">dei procedimenti </w:t>
      </w:r>
      <w:r w:rsidR="004F761C" w:rsidRPr="008E2B66">
        <w:rPr>
          <w:rFonts w:ascii="Garamond" w:hAnsi="Garamond" w:cs="Arial"/>
          <w:sz w:val="26"/>
          <w:szCs w:val="26"/>
          <w:u w:color="000000"/>
        </w:rPr>
        <w:t>o di</w:t>
      </w:r>
      <w:r w:rsidR="00EF7C72" w:rsidRPr="008E2B66">
        <w:rPr>
          <w:rFonts w:ascii="Garamond" w:hAnsi="Garamond" w:cs="Arial"/>
          <w:sz w:val="26"/>
          <w:szCs w:val="26"/>
          <w:u w:color="000000"/>
        </w:rPr>
        <w:t xml:space="preserve"> illeciti</w:t>
      </w:r>
      <w:r w:rsidRPr="008E2B66">
        <w:rPr>
          <w:rFonts w:ascii="Garamond" w:hAnsi="Garamond" w:cs="Arial"/>
          <w:sz w:val="26"/>
          <w:szCs w:val="26"/>
          <w:u w:color="000000"/>
        </w:rPr>
        <w:t xml:space="preserve"> connessi</w:t>
      </w:r>
      <w:r w:rsidR="004F761C" w:rsidRPr="008E2B66">
        <w:rPr>
          <w:rFonts w:ascii="Garamond" w:hAnsi="Garamond" w:cs="Arial"/>
          <w:sz w:val="26"/>
          <w:szCs w:val="26"/>
          <w:u w:color="000000"/>
        </w:rPr>
        <w:t xml:space="preserve"> al ritardo</w:t>
      </w:r>
      <w:r w:rsidR="00BE3335" w:rsidRPr="008E2B66">
        <w:rPr>
          <w:rFonts w:ascii="Garamond" w:hAnsi="Garamond" w:cs="Arial"/>
          <w:sz w:val="26"/>
          <w:szCs w:val="26"/>
          <w:u w:color="000000"/>
        </w:rPr>
        <w:t>.</w:t>
      </w:r>
      <w:r w:rsidR="004F761C" w:rsidRPr="008E2B66">
        <w:rPr>
          <w:rFonts w:ascii="Garamond" w:hAnsi="Garamond" w:cs="Arial"/>
          <w:b/>
          <w:bCs/>
          <w:sz w:val="26"/>
          <w:szCs w:val="26"/>
          <w:u w:color="000000"/>
        </w:rPr>
        <w:t xml:space="preserve"> </w:t>
      </w:r>
      <w:r w:rsidR="004F761C" w:rsidRPr="008E2B66">
        <w:rPr>
          <w:rFonts w:ascii="Garamond" w:hAnsi="Garamond" w:cs="Arial"/>
          <w:sz w:val="26"/>
          <w:szCs w:val="26"/>
          <w:u w:color="000000"/>
        </w:rPr>
        <w:t>L</w:t>
      </w:r>
      <w:r w:rsidR="00BA361B" w:rsidRPr="008E2B66">
        <w:rPr>
          <w:rFonts w:ascii="Garamond" w:hAnsi="Garamond" w:cs="Arial"/>
          <w:sz w:val="26"/>
          <w:szCs w:val="26"/>
          <w:u w:color="000000"/>
        </w:rPr>
        <w:t>e</w:t>
      </w:r>
      <w:r w:rsidR="00D13E39" w:rsidRPr="008E2B66">
        <w:rPr>
          <w:rFonts w:ascii="Garamond" w:hAnsi="Garamond" w:cs="Arial"/>
          <w:sz w:val="26"/>
          <w:szCs w:val="26"/>
          <w:u w:color="000000"/>
        </w:rPr>
        <w:t xml:space="preserve"> </w:t>
      </w:r>
      <w:r w:rsidR="00606680" w:rsidRPr="008E2B66">
        <w:rPr>
          <w:rFonts w:ascii="Garamond" w:hAnsi="Garamond" w:cs="Arial"/>
          <w:sz w:val="26"/>
          <w:szCs w:val="26"/>
          <w:u w:color="000000"/>
        </w:rPr>
        <w:t>attestazioni</w:t>
      </w:r>
      <w:r w:rsidR="004F761C" w:rsidRPr="008E2B66">
        <w:rPr>
          <w:rFonts w:ascii="Garamond" w:hAnsi="Garamond" w:cs="Arial"/>
          <w:sz w:val="26"/>
          <w:szCs w:val="26"/>
          <w:u w:color="000000"/>
        </w:rPr>
        <w:t xml:space="preserve"> pervenute</w:t>
      </w:r>
      <w:r w:rsidR="00606680" w:rsidRPr="008E2B66">
        <w:rPr>
          <w:rFonts w:ascii="Garamond" w:hAnsi="Garamond" w:cs="Arial"/>
          <w:sz w:val="26"/>
          <w:szCs w:val="26"/>
          <w:u w:color="000000"/>
        </w:rPr>
        <w:t xml:space="preserve"> </w:t>
      </w:r>
      <w:r w:rsidRPr="008E2B66">
        <w:rPr>
          <w:rFonts w:ascii="Garamond" w:hAnsi="Garamond" w:cs="Arial"/>
          <w:sz w:val="26"/>
          <w:szCs w:val="26"/>
          <w:u w:color="000000"/>
        </w:rPr>
        <w:t>nel 202</w:t>
      </w:r>
      <w:r w:rsidR="00801196" w:rsidRPr="008E2B66">
        <w:rPr>
          <w:rFonts w:ascii="Garamond" w:hAnsi="Garamond" w:cs="Arial"/>
          <w:sz w:val="26"/>
          <w:szCs w:val="26"/>
          <w:u w:color="000000"/>
        </w:rPr>
        <w:t>5</w:t>
      </w:r>
      <w:r w:rsidRPr="008E2B66">
        <w:rPr>
          <w:rFonts w:ascii="Garamond" w:hAnsi="Garamond" w:cs="Arial"/>
          <w:sz w:val="26"/>
          <w:szCs w:val="26"/>
          <w:u w:color="000000"/>
        </w:rPr>
        <w:t xml:space="preserve"> </w:t>
      </w:r>
      <w:r w:rsidR="00606680" w:rsidRPr="008E2B66">
        <w:rPr>
          <w:rFonts w:ascii="Garamond" w:hAnsi="Garamond" w:cs="Arial"/>
          <w:sz w:val="26"/>
          <w:szCs w:val="26"/>
          <w:u w:color="000000"/>
        </w:rPr>
        <w:t>non</w:t>
      </w:r>
      <w:r w:rsidR="008354B6" w:rsidRPr="008E2B66">
        <w:rPr>
          <w:rFonts w:ascii="Garamond" w:hAnsi="Garamond" w:cs="Arial"/>
          <w:sz w:val="26"/>
          <w:szCs w:val="26"/>
          <w:u w:color="000000"/>
        </w:rPr>
        <w:t xml:space="preserve"> ha</w:t>
      </w:r>
      <w:r w:rsidR="008905FA" w:rsidRPr="008E2B66">
        <w:rPr>
          <w:rFonts w:ascii="Garamond" w:hAnsi="Garamond" w:cs="Arial"/>
          <w:sz w:val="26"/>
          <w:szCs w:val="26"/>
          <w:u w:color="000000"/>
        </w:rPr>
        <w:t>nno</w:t>
      </w:r>
      <w:r w:rsidR="008354B6" w:rsidRPr="008E2B66">
        <w:rPr>
          <w:rFonts w:ascii="Garamond" w:hAnsi="Garamond" w:cs="Arial"/>
          <w:sz w:val="26"/>
          <w:szCs w:val="26"/>
          <w:u w:color="000000"/>
        </w:rPr>
        <w:t xml:space="preserve"> evidenziato ritardi </w:t>
      </w:r>
      <w:r w:rsidR="009438D9" w:rsidRPr="008E2B66">
        <w:rPr>
          <w:rFonts w:ascii="Garamond" w:hAnsi="Garamond" w:cs="Arial"/>
          <w:sz w:val="26"/>
          <w:szCs w:val="26"/>
          <w:u w:color="000000"/>
        </w:rPr>
        <w:t>o illeciti</w:t>
      </w:r>
      <w:r w:rsidR="00606680" w:rsidRPr="008E2B66">
        <w:rPr>
          <w:rFonts w:ascii="Garamond" w:hAnsi="Garamond" w:cs="Arial"/>
          <w:sz w:val="26"/>
          <w:szCs w:val="26"/>
          <w:u w:color="000000"/>
        </w:rPr>
        <w:t xml:space="preserve"> connessi al ritardo.</w:t>
      </w:r>
    </w:p>
    <w:p w14:paraId="5C848D59" w14:textId="77777777" w:rsidR="00F008BF" w:rsidRPr="008E2B66" w:rsidRDefault="00F008BF" w:rsidP="00352748">
      <w:pPr>
        <w:spacing w:after="80" w:line="276" w:lineRule="auto"/>
        <w:jc w:val="both"/>
        <w:rPr>
          <w:rFonts w:ascii="Garamond" w:hAnsi="Garamond" w:cs="Arial"/>
          <w:b/>
          <w:bCs/>
          <w:sz w:val="26"/>
          <w:szCs w:val="26"/>
        </w:rPr>
      </w:pPr>
    </w:p>
    <w:p w14:paraId="369B3D69" w14:textId="12BF77BD" w:rsidR="005C77FB" w:rsidRPr="008E2B66" w:rsidRDefault="00454620" w:rsidP="000A6740">
      <w:pPr>
        <w:spacing w:line="360" w:lineRule="auto"/>
        <w:jc w:val="both"/>
        <w:rPr>
          <w:rFonts w:ascii="Garamond" w:hAnsi="Garamond" w:cs="Arial"/>
          <w:b/>
          <w:bCs/>
          <w:sz w:val="26"/>
          <w:szCs w:val="26"/>
        </w:rPr>
      </w:pPr>
      <w:r w:rsidRPr="004513DA">
        <w:rPr>
          <w:rFonts w:ascii="Garamond" w:hAnsi="Garamond" w:cs="Arial"/>
          <w:b/>
          <w:bCs/>
          <w:sz w:val="26"/>
          <w:szCs w:val="26"/>
        </w:rPr>
        <w:t>Misure di prevenzione specifiche</w:t>
      </w:r>
      <w:r w:rsidR="00352748" w:rsidRPr="004513DA">
        <w:rPr>
          <w:rFonts w:ascii="Garamond" w:hAnsi="Garamond" w:cs="Arial"/>
          <w:b/>
          <w:bCs/>
          <w:sz w:val="26"/>
          <w:szCs w:val="26"/>
        </w:rPr>
        <w:t xml:space="preserve"> </w:t>
      </w:r>
    </w:p>
    <w:p w14:paraId="4811F481" w14:textId="28955EB8" w:rsidR="001337C9" w:rsidRPr="008E2B66" w:rsidRDefault="00DB087D" w:rsidP="00352748">
      <w:pPr>
        <w:autoSpaceDE w:val="0"/>
        <w:autoSpaceDN w:val="0"/>
        <w:adjustRightInd w:val="0"/>
        <w:spacing w:after="80" w:line="276" w:lineRule="auto"/>
        <w:jc w:val="both"/>
        <w:rPr>
          <w:rFonts w:ascii="Garamond" w:hAnsi="Garamond" w:cs="Arial"/>
          <w:sz w:val="26"/>
          <w:szCs w:val="26"/>
        </w:rPr>
      </w:pPr>
      <w:r w:rsidRPr="008E2B66">
        <w:rPr>
          <w:rFonts w:ascii="Garamond" w:hAnsi="Garamond" w:cs="Arial"/>
          <w:sz w:val="26"/>
          <w:szCs w:val="26"/>
        </w:rPr>
        <w:t xml:space="preserve">Di seguito si riportano due tabelle, </w:t>
      </w:r>
      <w:r w:rsidR="009438D9" w:rsidRPr="008E2B66">
        <w:rPr>
          <w:rFonts w:ascii="Garamond" w:hAnsi="Garamond" w:cs="Arial"/>
          <w:sz w:val="26"/>
          <w:szCs w:val="26"/>
        </w:rPr>
        <w:t>relative a</w:t>
      </w:r>
      <w:r w:rsidRPr="008E2B66">
        <w:rPr>
          <w:rFonts w:ascii="Garamond" w:hAnsi="Garamond" w:cs="Arial"/>
          <w:sz w:val="26"/>
          <w:szCs w:val="26"/>
        </w:rPr>
        <w:t>gli Uffici e ai Centri, contenent</w:t>
      </w:r>
      <w:r w:rsidR="009438D9" w:rsidRPr="008E2B66">
        <w:rPr>
          <w:rFonts w:ascii="Garamond" w:hAnsi="Garamond" w:cs="Arial"/>
          <w:sz w:val="26"/>
          <w:szCs w:val="26"/>
        </w:rPr>
        <w:t>i</w:t>
      </w:r>
      <w:r w:rsidRPr="008E2B66">
        <w:rPr>
          <w:rFonts w:ascii="Garamond" w:hAnsi="Garamond" w:cs="Arial"/>
          <w:sz w:val="26"/>
          <w:szCs w:val="26"/>
        </w:rPr>
        <w:t xml:space="preserve"> lo stato di attuazione </w:t>
      </w:r>
      <w:r w:rsidR="009438D9" w:rsidRPr="008E2B66">
        <w:rPr>
          <w:rFonts w:ascii="Garamond" w:hAnsi="Garamond" w:cs="Arial"/>
          <w:sz w:val="26"/>
          <w:szCs w:val="26"/>
        </w:rPr>
        <w:t>delle misure programmate per il 202</w:t>
      </w:r>
      <w:r w:rsidR="008C15ED" w:rsidRPr="008E2B66">
        <w:rPr>
          <w:rFonts w:ascii="Garamond" w:hAnsi="Garamond" w:cs="Arial"/>
          <w:sz w:val="26"/>
          <w:szCs w:val="26"/>
        </w:rPr>
        <w:t>5</w:t>
      </w:r>
      <w:r w:rsidR="009438D9" w:rsidRPr="008E2B66">
        <w:rPr>
          <w:rFonts w:ascii="Garamond" w:hAnsi="Garamond" w:cs="Arial"/>
          <w:sz w:val="26"/>
          <w:szCs w:val="26"/>
        </w:rPr>
        <w:t xml:space="preserve"> </w:t>
      </w:r>
      <w:r w:rsidRPr="008E2B66">
        <w:rPr>
          <w:rFonts w:ascii="Garamond" w:hAnsi="Garamond" w:cs="Arial"/>
          <w:sz w:val="26"/>
          <w:szCs w:val="26"/>
        </w:rPr>
        <w:t>all’esito dei monitoraggi effettuati nel corso del</w:t>
      </w:r>
      <w:r w:rsidR="009438D9" w:rsidRPr="008E2B66">
        <w:rPr>
          <w:rFonts w:ascii="Garamond" w:hAnsi="Garamond" w:cs="Arial"/>
          <w:sz w:val="26"/>
          <w:szCs w:val="26"/>
        </w:rPr>
        <w:t>l’anno</w:t>
      </w:r>
      <w:r w:rsidRPr="008E2B66">
        <w:rPr>
          <w:rFonts w:ascii="Garamond" w:hAnsi="Garamond" w:cs="Arial"/>
          <w:sz w:val="26"/>
          <w:szCs w:val="26"/>
        </w:rPr>
        <w:t>.</w:t>
      </w:r>
    </w:p>
    <w:p w14:paraId="1DB5AE6A" w14:textId="77777777" w:rsidR="001337C9" w:rsidRPr="008E2B66" w:rsidRDefault="001337C9" w:rsidP="00941B59">
      <w:pPr>
        <w:spacing w:line="360" w:lineRule="auto"/>
        <w:jc w:val="both"/>
        <w:rPr>
          <w:rFonts w:ascii="Garamond" w:eastAsiaTheme="minorHAnsi" w:hAnsi="Garamond" w:cs="Arial"/>
          <w:sz w:val="26"/>
          <w:szCs w:val="26"/>
        </w:rPr>
      </w:pPr>
    </w:p>
    <w:tbl>
      <w:tblPr>
        <w:tblStyle w:val="Grigliatabella1"/>
        <w:tblW w:w="9628" w:type="dxa"/>
        <w:tblInd w:w="0" w:type="dxa"/>
        <w:tblLook w:val="04A0" w:firstRow="1" w:lastRow="0" w:firstColumn="1" w:lastColumn="0" w:noHBand="0" w:noVBand="1"/>
      </w:tblPr>
      <w:tblGrid>
        <w:gridCol w:w="1153"/>
        <w:gridCol w:w="1589"/>
        <w:gridCol w:w="2285"/>
        <w:gridCol w:w="914"/>
        <w:gridCol w:w="1943"/>
        <w:gridCol w:w="1744"/>
      </w:tblGrid>
      <w:tr w:rsidR="00941B59" w:rsidRPr="008E2B66" w14:paraId="7B6F5799" w14:textId="77777777" w:rsidTr="00D24102">
        <w:trPr>
          <w:trHeight w:val="1003"/>
        </w:trPr>
        <w:tc>
          <w:tcPr>
            <w:tcW w:w="9628" w:type="dxa"/>
            <w:gridSpan w:val="6"/>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2445FE5" w14:textId="4E90D477" w:rsidR="00A34608" w:rsidRPr="004513DA" w:rsidRDefault="00941B59" w:rsidP="00A34608">
            <w:pPr>
              <w:rPr>
                <w:rFonts w:ascii="Garamond" w:eastAsia="Calibri" w:hAnsi="Garamond" w:cs="Arial"/>
                <w:b/>
                <w:bCs/>
                <w:sz w:val="24"/>
                <w:szCs w:val="24"/>
              </w:rPr>
            </w:pPr>
            <w:r w:rsidRPr="004513DA">
              <w:rPr>
                <w:rFonts w:ascii="Garamond" w:eastAsia="Calibri" w:hAnsi="Garamond" w:cs="Arial"/>
                <w:b/>
                <w:bCs/>
                <w:sz w:val="24"/>
                <w:szCs w:val="24"/>
              </w:rPr>
              <w:t xml:space="preserve">MISURE SPECIFICHE </w:t>
            </w:r>
            <w:r w:rsidR="00A34608" w:rsidRPr="004513DA">
              <w:rPr>
                <w:rFonts w:ascii="Garamond" w:eastAsia="Calibri" w:hAnsi="Garamond" w:cs="Arial"/>
                <w:b/>
                <w:bCs/>
                <w:sz w:val="24"/>
                <w:szCs w:val="24"/>
              </w:rPr>
              <w:t>UFFICI (</w:t>
            </w:r>
            <w:r w:rsidRPr="004513DA">
              <w:rPr>
                <w:rFonts w:ascii="Garamond" w:eastAsia="Calibri" w:hAnsi="Garamond" w:cs="Arial"/>
                <w:b/>
                <w:bCs/>
                <w:sz w:val="24"/>
                <w:szCs w:val="24"/>
              </w:rPr>
              <w:t>Rischio molto alto, alto</w:t>
            </w:r>
            <w:r w:rsidR="0008633F" w:rsidRPr="004513DA">
              <w:rPr>
                <w:rFonts w:ascii="Garamond" w:eastAsia="Calibri" w:hAnsi="Garamond" w:cs="Arial"/>
                <w:b/>
                <w:bCs/>
                <w:sz w:val="24"/>
                <w:szCs w:val="24"/>
              </w:rPr>
              <w:t xml:space="preserve">, </w:t>
            </w:r>
            <w:r w:rsidRPr="004513DA">
              <w:rPr>
                <w:rFonts w:ascii="Garamond" w:eastAsia="Calibri" w:hAnsi="Garamond" w:cs="Arial"/>
                <w:b/>
                <w:bCs/>
                <w:sz w:val="24"/>
                <w:szCs w:val="24"/>
              </w:rPr>
              <w:t>medio</w:t>
            </w:r>
            <w:r w:rsidR="0008633F" w:rsidRPr="004513DA">
              <w:rPr>
                <w:rFonts w:ascii="Garamond" w:eastAsia="Calibri" w:hAnsi="Garamond" w:cs="Arial"/>
                <w:b/>
                <w:bCs/>
                <w:sz w:val="24"/>
                <w:szCs w:val="24"/>
              </w:rPr>
              <w:t xml:space="preserve"> e basso</w:t>
            </w:r>
            <w:r w:rsidRPr="004513DA">
              <w:rPr>
                <w:rFonts w:ascii="Garamond" w:eastAsia="Calibri" w:hAnsi="Garamond" w:cs="Arial"/>
                <w:b/>
                <w:bCs/>
                <w:sz w:val="24"/>
                <w:szCs w:val="24"/>
              </w:rPr>
              <w:t>):</w:t>
            </w:r>
          </w:p>
          <w:p w14:paraId="7B01498B" w14:textId="65C3FF33" w:rsidR="00941B59" w:rsidRPr="004513DA" w:rsidRDefault="00941B59" w:rsidP="00A34608">
            <w:pPr>
              <w:rPr>
                <w:rFonts w:ascii="Garamond" w:eastAsia="Calibri" w:hAnsi="Garamond" w:cs="Arial"/>
                <w:b/>
                <w:bCs/>
                <w:sz w:val="24"/>
                <w:szCs w:val="24"/>
              </w:rPr>
            </w:pPr>
            <w:r w:rsidRPr="004513DA">
              <w:rPr>
                <w:rFonts w:ascii="Garamond" w:eastAsia="Calibri" w:hAnsi="Garamond" w:cs="Arial"/>
                <w:b/>
                <w:bCs/>
                <w:sz w:val="24"/>
                <w:szCs w:val="24"/>
              </w:rPr>
              <w:t>STATO DI ATTUAZIONE 202</w:t>
            </w:r>
            <w:r w:rsidR="00BF612F" w:rsidRPr="004513DA">
              <w:rPr>
                <w:rFonts w:ascii="Garamond" w:eastAsia="Calibri" w:hAnsi="Garamond" w:cs="Arial"/>
                <w:b/>
                <w:bCs/>
                <w:sz w:val="24"/>
                <w:szCs w:val="24"/>
              </w:rPr>
              <w:t>5</w:t>
            </w:r>
          </w:p>
        </w:tc>
      </w:tr>
      <w:tr w:rsidR="00941B59" w:rsidRPr="008E2B66" w14:paraId="6FA5B6AB" w14:textId="77777777" w:rsidTr="00A34608">
        <w:trPr>
          <w:trHeight w:val="180"/>
        </w:trPr>
        <w:tc>
          <w:tcPr>
            <w:tcW w:w="1011"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79807D64" w14:textId="77777777" w:rsidR="00941B59" w:rsidRPr="00893487" w:rsidRDefault="00941B59" w:rsidP="00D24F87">
            <w:pPr>
              <w:jc w:val="both"/>
              <w:rPr>
                <w:rFonts w:ascii="Garamond" w:eastAsia="Calibri" w:hAnsi="Garamond" w:cs="Arial"/>
                <w:b/>
                <w:bCs/>
              </w:rPr>
            </w:pPr>
            <w:r w:rsidRPr="00893487">
              <w:rPr>
                <w:rFonts w:ascii="Garamond" w:eastAsia="Calibri" w:hAnsi="Garamond" w:cs="Arial"/>
                <w:b/>
                <w:bCs/>
              </w:rPr>
              <w:t>UFFICIO</w:t>
            </w:r>
          </w:p>
        </w:tc>
        <w:tc>
          <w:tcPr>
            <w:tcW w:w="1252"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51576C6C" w14:textId="77777777" w:rsidR="00941B59" w:rsidRPr="00893487" w:rsidRDefault="00941B59" w:rsidP="00D24F87">
            <w:pPr>
              <w:jc w:val="both"/>
              <w:rPr>
                <w:rFonts w:ascii="Garamond" w:eastAsia="Calibri" w:hAnsi="Garamond" w:cs="Arial"/>
                <w:b/>
                <w:bCs/>
              </w:rPr>
            </w:pPr>
            <w:r w:rsidRPr="00893487">
              <w:rPr>
                <w:rFonts w:ascii="Garamond" w:eastAsia="Calibri" w:hAnsi="Garamond" w:cs="Arial"/>
                <w:b/>
                <w:bCs/>
              </w:rPr>
              <w:t>PROCESSO</w:t>
            </w:r>
          </w:p>
        </w:tc>
        <w:tc>
          <w:tcPr>
            <w:tcW w:w="2506"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21E75842" w14:textId="77777777" w:rsidR="00941B59" w:rsidRPr="00893487" w:rsidRDefault="00941B59" w:rsidP="00A34608">
            <w:pPr>
              <w:jc w:val="center"/>
              <w:rPr>
                <w:rFonts w:ascii="Garamond" w:eastAsia="Calibri" w:hAnsi="Garamond" w:cs="Arial"/>
                <w:b/>
                <w:bCs/>
              </w:rPr>
            </w:pPr>
            <w:r w:rsidRPr="00893487">
              <w:rPr>
                <w:rFonts w:ascii="Garamond" w:eastAsia="Calibri" w:hAnsi="Garamond" w:cs="Arial"/>
                <w:b/>
                <w:bCs/>
              </w:rPr>
              <w:t>SOTTOPROCESSO</w:t>
            </w:r>
          </w:p>
        </w:tc>
        <w:tc>
          <w:tcPr>
            <w:tcW w:w="926"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43319A78" w14:textId="77777777" w:rsidR="00941B59" w:rsidRPr="00893487" w:rsidRDefault="00941B59" w:rsidP="00D24F87">
            <w:pPr>
              <w:jc w:val="both"/>
              <w:rPr>
                <w:rFonts w:ascii="Garamond" w:eastAsia="Calibri" w:hAnsi="Garamond" w:cs="Arial"/>
                <w:b/>
                <w:bCs/>
              </w:rPr>
            </w:pPr>
            <w:r w:rsidRPr="00893487">
              <w:rPr>
                <w:rFonts w:ascii="Garamond" w:eastAsia="Calibri" w:hAnsi="Garamond" w:cs="Arial"/>
                <w:b/>
                <w:bCs/>
              </w:rPr>
              <w:t>Livello di rischio</w:t>
            </w:r>
          </w:p>
        </w:tc>
        <w:tc>
          <w:tcPr>
            <w:tcW w:w="2386"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0FFB3CD" w14:textId="77777777" w:rsidR="00941B59" w:rsidRPr="00893487" w:rsidRDefault="00941B59" w:rsidP="00A34608">
            <w:pPr>
              <w:jc w:val="center"/>
              <w:rPr>
                <w:rFonts w:ascii="Garamond" w:eastAsia="Calibri" w:hAnsi="Garamond" w:cs="Arial"/>
                <w:b/>
                <w:bCs/>
              </w:rPr>
            </w:pPr>
            <w:r w:rsidRPr="00893487">
              <w:rPr>
                <w:rFonts w:ascii="Garamond" w:eastAsia="Calibri" w:hAnsi="Garamond" w:cs="Arial"/>
                <w:b/>
                <w:bCs/>
              </w:rPr>
              <w:t>MISURE</w:t>
            </w:r>
          </w:p>
        </w:tc>
        <w:tc>
          <w:tcPr>
            <w:tcW w:w="1547"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CA1A0E1" w14:textId="77777777" w:rsidR="00941B59" w:rsidRPr="00893487" w:rsidRDefault="00941B59" w:rsidP="00A34608">
            <w:pPr>
              <w:jc w:val="center"/>
              <w:rPr>
                <w:rFonts w:ascii="Garamond" w:eastAsia="Calibri" w:hAnsi="Garamond" w:cs="Arial"/>
                <w:b/>
                <w:bCs/>
              </w:rPr>
            </w:pPr>
            <w:r w:rsidRPr="00893487">
              <w:rPr>
                <w:rFonts w:ascii="Garamond" w:eastAsia="Calibri" w:hAnsi="Garamond" w:cs="Arial"/>
                <w:b/>
                <w:bCs/>
              </w:rPr>
              <w:t>ATTUAZIONE</w:t>
            </w:r>
          </w:p>
        </w:tc>
      </w:tr>
      <w:tr w:rsidR="00FB6A78" w:rsidRPr="004513DA" w14:paraId="29E93F5B" w14:textId="77777777" w:rsidTr="00A34608">
        <w:trPr>
          <w:trHeight w:val="1247"/>
        </w:trPr>
        <w:tc>
          <w:tcPr>
            <w:tcW w:w="1011" w:type="dxa"/>
            <w:vMerge w:val="restart"/>
            <w:tcBorders>
              <w:top w:val="single" w:sz="4" w:space="0" w:color="auto"/>
              <w:left w:val="single" w:sz="4" w:space="0" w:color="auto"/>
              <w:right w:val="single" w:sz="4" w:space="0" w:color="auto"/>
            </w:tcBorders>
            <w:vAlign w:val="center"/>
          </w:tcPr>
          <w:p w14:paraId="435DC3A5" w14:textId="238FA007" w:rsidR="00FB6A78" w:rsidRPr="004513DA" w:rsidRDefault="00FB6A78" w:rsidP="00A34608">
            <w:pPr>
              <w:jc w:val="center"/>
              <w:rPr>
                <w:rFonts w:ascii="Garamond" w:eastAsia="Calibri" w:hAnsi="Garamond" w:cs="Arial"/>
                <w:sz w:val="24"/>
                <w:szCs w:val="24"/>
              </w:rPr>
            </w:pPr>
            <w:r w:rsidRPr="004513DA">
              <w:rPr>
                <w:rFonts w:ascii="Garamond" w:eastAsia="Calibri" w:hAnsi="Garamond" w:cs="Arial"/>
                <w:sz w:val="24"/>
                <w:szCs w:val="24"/>
              </w:rPr>
              <w:t>UDG2</w:t>
            </w:r>
          </w:p>
        </w:tc>
        <w:tc>
          <w:tcPr>
            <w:tcW w:w="1252" w:type="dxa"/>
            <w:tcBorders>
              <w:top w:val="single" w:sz="4" w:space="0" w:color="auto"/>
              <w:left w:val="single" w:sz="4" w:space="0" w:color="auto"/>
              <w:right w:val="single" w:sz="4" w:space="0" w:color="auto"/>
            </w:tcBorders>
            <w:vAlign w:val="center"/>
          </w:tcPr>
          <w:p w14:paraId="7F275ECA" w14:textId="4178F7DD" w:rsidR="00FB6A78" w:rsidRPr="004513DA" w:rsidRDefault="00FB6A78" w:rsidP="00D24102">
            <w:pPr>
              <w:spacing w:line="276" w:lineRule="auto"/>
              <w:rPr>
                <w:rFonts w:ascii="Garamond" w:eastAsia="Calibri" w:hAnsi="Garamond" w:cs="Arial"/>
                <w:sz w:val="24"/>
                <w:szCs w:val="24"/>
              </w:rPr>
            </w:pPr>
            <w:r w:rsidRPr="004513DA">
              <w:rPr>
                <w:rFonts w:ascii="Garamond" w:eastAsia="Calibri" w:hAnsi="Garamond" w:cs="Arial"/>
                <w:sz w:val="24"/>
                <w:szCs w:val="24"/>
              </w:rPr>
              <w:t>Prevenzione della corruzione</w:t>
            </w:r>
          </w:p>
        </w:tc>
        <w:tc>
          <w:tcPr>
            <w:tcW w:w="2506" w:type="dxa"/>
            <w:tcBorders>
              <w:top w:val="single" w:sz="4" w:space="0" w:color="auto"/>
              <w:left w:val="single" w:sz="4" w:space="0" w:color="auto"/>
              <w:right w:val="single" w:sz="4" w:space="0" w:color="auto"/>
            </w:tcBorders>
            <w:vAlign w:val="center"/>
          </w:tcPr>
          <w:p w14:paraId="4E8791AC" w14:textId="439F1294" w:rsidR="00FB6A78" w:rsidRPr="004513DA" w:rsidRDefault="00FB6A78" w:rsidP="00A34608">
            <w:pPr>
              <w:rPr>
                <w:rFonts w:ascii="Garamond" w:eastAsia="Calibri" w:hAnsi="Garamond" w:cs="Arial"/>
                <w:sz w:val="24"/>
                <w:szCs w:val="24"/>
              </w:rPr>
            </w:pPr>
            <w:r w:rsidRPr="004513DA">
              <w:rPr>
                <w:rFonts w:ascii="Garamond" w:eastAsia="Calibri" w:hAnsi="Garamond" w:cs="Arial"/>
                <w:sz w:val="24"/>
                <w:szCs w:val="24"/>
              </w:rPr>
              <w:t>Attività connesse alla gestione del</w:t>
            </w:r>
            <w:r w:rsidR="00A34608" w:rsidRPr="004513DA">
              <w:rPr>
                <w:rFonts w:ascii="Garamond" w:eastAsia="Calibri" w:hAnsi="Garamond" w:cs="Arial"/>
                <w:sz w:val="24"/>
                <w:szCs w:val="24"/>
              </w:rPr>
              <w:t xml:space="preserve"> </w:t>
            </w:r>
            <w:r w:rsidRPr="004513DA">
              <w:rPr>
                <w:rFonts w:ascii="Garamond" w:eastAsia="Calibri" w:hAnsi="Garamond" w:cs="Arial"/>
                <w:sz w:val="24"/>
                <w:szCs w:val="24"/>
              </w:rPr>
              <w:t>Codice di comportamento ai sensi</w:t>
            </w:r>
          </w:p>
          <w:p w14:paraId="246C6106" w14:textId="41EC6141" w:rsidR="00FB6A78" w:rsidRPr="004513DA" w:rsidRDefault="00FB6A78" w:rsidP="00A34608">
            <w:pPr>
              <w:rPr>
                <w:rFonts w:ascii="Garamond" w:eastAsia="Calibri" w:hAnsi="Garamond" w:cs="Arial"/>
                <w:sz w:val="24"/>
                <w:szCs w:val="24"/>
              </w:rPr>
            </w:pPr>
            <w:r w:rsidRPr="004513DA">
              <w:rPr>
                <w:rFonts w:ascii="Garamond" w:eastAsia="Calibri" w:hAnsi="Garamond" w:cs="Arial"/>
                <w:sz w:val="24"/>
                <w:szCs w:val="24"/>
              </w:rPr>
              <w:t>della normativa vigente</w:t>
            </w:r>
          </w:p>
        </w:tc>
        <w:tc>
          <w:tcPr>
            <w:tcW w:w="926" w:type="dxa"/>
            <w:tcBorders>
              <w:top w:val="single" w:sz="4" w:space="0" w:color="auto"/>
              <w:left w:val="single" w:sz="4" w:space="0" w:color="auto"/>
              <w:right w:val="single" w:sz="4" w:space="0" w:color="auto"/>
            </w:tcBorders>
            <w:vAlign w:val="center"/>
          </w:tcPr>
          <w:p w14:paraId="6CD2DD8C" w14:textId="245BD86D" w:rsidR="00FB6A78" w:rsidRPr="004513DA" w:rsidRDefault="00FB6A78" w:rsidP="00A34608">
            <w:pPr>
              <w:jc w:val="center"/>
              <w:rPr>
                <w:rFonts w:ascii="Garamond" w:eastAsia="Calibri" w:hAnsi="Garamond" w:cs="Arial"/>
                <w:sz w:val="24"/>
                <w:szCs w:val="24"/>
              </w:rPr>
            </w:pPr>
            <w:r w:rsidRPr="004513DA">
              <w:rPr>
                <w:rFonts w:ascii="Garamond" w:eastAsia="Calibri" w:hAnsi="Garamond" w:cs="Arial"/>
                <w:sz w:val="24"/>
                <w:szCs w:val="24"/>
              </w:rPr>
              <w:t>Rischio basso</w:t>
            </w:r>
          </w:p>
        </w:tc>
        <w:tc>
          <w:tcPr>
            <w:tcW w:w="2386" w:type="dxa"/>
            <w:tcBorders>
              <w:top w:val="single" w:sz="4" w:space="0" w:color="auto"/>
              <w:left w:val="single" w:sz="4" w:space="0" w:color="auto"/>
              <w:right w:val="single" w:sz="4" w:space="0" w:color="auto"/>
            </w:tcBorders>
            <w:vAlign w:val="center"/>
          </w:tcPr>
          <w:p w14:paraId="708A30CD" w14:textId="728A90F5" w:rsidR="00FB6A78" w:rsidRPr="004513DA" w:rsidRDefault="00FB6A78" w:rsidP="00A34608">
            <w:pPr>
              <w:jc w:val="center"/>
              <w:rPr>
                <w:rFonts w:ascii="Garamond" w:eastAsia="Calibri" w:hAnsi="Garamond" w:cs="Arial"/>
                <w:sz w:val="24"/>
                <w:szCs w:val="24"/>
              </w:rPr>
            </w:pPr>
            <w:r w:rsidRPr="004513DA">
              <w:rPr>
                <w:rFonts w:ascii="Garamond" w:eastAsia="Calibri" w:hAnsi="Garamond" w:cs="Arial"/>
                <w:sz w:val="24"/>
                <w:szCs w:val="24"/>
              </w:rPr>
              <w:t>Proposta formazione in materia di codice di comportamento</w:t>
            </w:r>
          </w:p>
        </w:tc>
        <w:tc>
          <w:tcPr>
            <w:tcW w:w="1547" w:type="dxa"/>
            <w:tcBorders>
              <w:top w:val="single" w:sz="4" w:space="0" w:color="auto"/>
              <w:left w:val="single" w:sz="4" w:space="0" w:color="auto"/>
              <w:right w:val="single" w:sz="4" w:space="0" w:color="auto"/>
            </w:tcBorders>
            <w:vAlign w:val="center"/>
          </w:tcPr>
          <w:p w14:paraId="007F2CE0" w14:textId="48E7EC28" w:rsidR="00FB6A78" w:rsidRPr="004513DA" w:rsidRDefault="00FB6A78" w:rsidP="00A34608">
            <w:pPr>
              <w:jc w:val="center"/>
              <w:rPr>
                <w:rFonts w:ascii="Garamond" w:eastAsia="Calibri" w:hAnsi="Garamond" w:cs="Arial"/>
                <w:sz w:val="24"/>
                <w:szCs w:val="24"/>
              </w:rPr>
            </w:pPr>
            <w:r w:rsidRPr="004513DA">
              <w:rPr>
                <w:rFonts w:ascii="Garamond" w:eastAsia="Calibri" w:hAnsi="Garamond" w:cs="Arial"/>
                <w:sz w:val="24"/>
                <w:szCs w:val="24"/>
              </w:rPr>
              <w:t>adottata</w:t>
            </w:r>
          </w:p>
        </w:tc>
      </w:tr>
      <w:tr w:rsidR="0083017E" w:rsidRPr="004513DA" w14:paraId="2A320E2C" w14:textId="77777777" w:rsidTr="001A2656">
        <w:trPr>
          <w:trHeight w:val="2117"/>
        </w:trPr>
        <w:tc>
          <w:tcPr>
            <w:tcW w:w="1011" w:type="dxa"/>
            <w:vMerge/>
            <w:tcBorders>
              <w:left w:val="single" w:sz="4" w:space="0" w:color="auto"/>
              <w:right w:val="single" w:sz="4" w:space="0" w:color="auto"/>
            </w:tcBorders>
            <w:vAlign w:val="center"/>
          </w:tcPr>
          <w:p w14:paraId="74303F74" w14:textId="77777777" w:rsidR="0083017E" w:rsidRPr="004513DA" w:rsidRDefault="0083017E" w:rsidP="00D24F87">
            <w:pPr>
              <w:jc w:val="both"/>
              <w:rPr>
                <w:rFonts w:ascii="Garamond" w:eastAsia="Calibri" w:hAnsi="Garamond" w:cs="Arial"/>
                <w:sz w:val="24"/>
                <w:szCs w:val="24"/>
              </w:rPr>
            </w:pPr>
          </w:p>
        </w:tc>
        <w:tc>
          <w:tcPr>
            <w:tcW w:w="1252" w:type="dxa"/>
            <w:tcBorders>
              <w:top w:val="single" w:sz="4" w:space="0" w:color="auto"/>
              <w:left w:val="single" w:sz="4" w:space="0" w:color="auto"/>
              <w:right w:val="single" w:sz="4" w:space="0" w:color="auto"/>
            </w:tcBorders>
            <w:vAlign w:val="center"/>
          </w:tcPr>
          <w:p w14:paraId="43C5F164" w14:textId="6AC744F2" w:rsidR="0083017E" w:rsidRPr="004513DA" w:rsidRDefault="0083017E" w:rsidP="00A34608">
            <w:pPr>
              <w:spacing w:line="276" w:lineRule="auto"/>
              <w:jc w:val="center"/>
              <w:rPr>
                <w:rFonts w:ascii="Garamond" w:eastAsia="Calibri" w:hAnsi="Garamond" w:cs="Arial"/>
                <w:sz w:val="24"/>
                <w:szCs w:val="24"/>
              </w:rPr>
            </w:pPr>
            <w:r w:rsidRPr="004513DA">
              <w:rPr>
                <w:rFonts w:ascii="Garamond" w:eastAsia="Calibri" w:hAnsi="Garamond" w:cs="Arial"/>
                <w:sz w:val="24"/>
                <w:szCs w:val="24"/>
              </w:rPr>
              <w:t>URP</w:t>
            </w:r>
          </w:p>
        </w:tc>
        <w:tc>
          <w:tcPr>
            <w:tcW w:w="2506" w:type="dxa"/>
            <w:tcBorders>
              <w:top w:val="single" w:sz="4" w:space="0" w:color="auto"/>
              <w:left w:val="single" w:sz="4" w:space="0" w:color="auto"/>
              <w:right w:val="single" w:sz="4" w:space="0" w:color="auto"/>
            </w:tcBorders>
            <w:vAlign w:val="center"/>
          </w:tcPr>
          <w:p w14:paraId="356AF439" w14:textId="1E36C0FE" w:rsidR="0083017E" w:rsidRPr="004513DA" w:rsidRDefault="0083017E" w:rsidP="00A34608">
            <w:pPr>
              <w:rPr>
                <w:rFonts w:ascii="Garamond" w:eastAsia="Calibri" w:hAnsi="Garamond" w:cs="Arial"/>
                <w:sz w:val="24"/>
                <w:szCs w:val="24"/>
              </w:rPr>
            </w:pPr>
            <w:r w:rsidRPr="004513DA">
              <w:rPr>
                <w:rFonts w:ascii="Garamond" w:eastAsia="Calibri" w:hAnsi="Garamond" w:cs="Arial"/>
                <w:sz w:val="24"/>
                <w:szCs w:val="24"/>
              </w:rPr>
              <w:t>Gestione accesso civico semplice, gestione accesso civico generalizzato su dati detenuti dall'Ufficio, gestione richieste di riesame in caso di accesso civico generalizzato, esame delle richieste di accesso (documentale, civico semplice e generalizzato) pervenute all'URP al fine della individuazione e trasmissione all'Ufficio/Centro competente</w:t>
            </w:r>
          </w:p>
        </w:tc>
        <w:tc>
          <w:tcPr>
            <w:tcW w:w="926" w:type="dxa"/>
            <w:tcBorders>
              <w:top w:val="single" w:sz="4" w:space="0" w:color="auto"/>
              <w:left w:val="single" w:sz="4" w:space="0" w:color="auto"/>
              <w:right w:val="single" w:sz="4" w:space="0" w:color="auto"/>
            </w:tcBorders>
            <w:vAlign w:val="center"/>
          </w:tcPr>
          <w:p w14:paraId="6327FD01" w14:textId="60E1FA8F" w:rsidR="0083017E" w:rsidRPr="004513DA" w:rsidRDefault="0083017E" w:rsidP="00A34608">
            <w:pPr>
              <w:spacing w:after="200" w:line="276" w:lineRule="auto"/>
              <w:jc w:val="center"/>
              <w:rPr>
                <w:rFonts w:ascii="Garamond" w:eastAsia="Calibri" w:hAnsi="Garamond" w:cs="Arial"/>
                <w:sz w:val="24"/>
                <w:szCs w:val="24"/>
              </w:rPr>
            </w:pPr>
            <w:r w:rsidRPr="004513DA">
              <w:rPr>
                <w:rFonts w:ascii="Garamond" w:eastAsia="Calibri" w:hAnsi="Garamond" w:cs="Arial"/>
                <w:sz w:val="24"/>
                <w:szCs w:val="24"/>
              </w:rPr>
              <w:t>Rischio basso</w:t>
            </w:r>
          </w:p>
        </w:tc>
        <w:tc>
          <w:tcPr>
            <w:tcW w:w="2386" w:type="dxa"/>
            <w:tcBorders>
              <w:top w:val="single" w:sz="4" w:space="0" w:color="auto"/>
              <w:left w:val="single" w:sz="4" w:space="0" w:color="auto"/>
              <w:right w:val="single" w:sz="4" w:space="0" w:color="auto"/>
            </w:tcBorders>
            <w:vAlign w:val="center"/>
          </w:tcPr>
          <w:p w14:paraId="04AAEBA3" w14:textId="08AE9FFC" w:rsidR="0083017E" w:rsidRPr="004513DA" w:rsidRDefault="0083017E" w:rsidP="00A34608">
            <w:pPr>
              <w:jc w:val="center"/>
              <w:rPr>
                <w:rFonts w:ascii="Garamond" w:eastAsia="Calibri" w:hAnsi="Garamond" w:cs="Arial"/>
                <w:sz w:val="24"/>
                <w:szCs w:val="24"/>
              </w:rPr>
            </w:pPr>
            <w:r w:rsidRPr="004513DA">
              <w:rPr>
                <w:rFonts w:ascii="Garamond" w:eastAsia="Calibri" w:hAnsi="Garamond" w:cs="Arial"/>
                <w:sz w:val="24"/>
                <w:szCs w:val="24"/>
              </w:rPr>
              <w:t>Applicazione Regolamento sul diritto di accesso del CREA e compilazione registro degli accessi</w:t>
            </w:r>
          </w:p>
        </w:tc>
        <w:tc>
          <w:tcPr>
            <w:tcW w:w="1547" w:type="dxa"/>
            <w:tcBorders>
              <w:top w:val="single" w:sz="4" w:space="0" w:color="auto"/>
              <w:left w:val="single" w:sz="4" w:space="0" w:color="auto"/>
              <w:right w:val="single" w:sz="4" w:space="0" w:color="auto"/>
            </w:tcBorders>
            <w:vAlign w:val="center"/>
          </w:tcPr>
          <w:p w14:paraId="2C1E871C" w14:textId="3E106708" w:rsidR="0083017E" w:rsidRPr="004513DA" w:rsidRDefault="0083017E" w:rsidP="00A34608">
            <w:pPr>
              <w:jc w:val="center"/>
              <w:rPr>
                <w:rFonts w:ascii="Garamond" w:eastAsia="Calibri" w:hAnsi="Garamond" w:cs="Arial"/>
                <w:sz w:val="24"/>
                <w:szCs w:val="24"/>
              </w:rPr>
            </w:pPr>
            <w:r w:rsidRPr="004513DA">
              <w:rPr>
                <w:rFonts w:ascii="Garamond" w:eastAsia="Calibri" w:hAnsi="Garamond" w:cs="Arial"/>
                <w:sz w:val="24"/>
                <w:szCs w:val="24"/>
              </w:rPr>
              <w:t>adottata</w:t>
            </w:r>
          </w:p>
        </w:tc>
      </w:tr>
      <w:tr w:rsidR="00926F57" w:rsidRPr="004513DA" w14:paraId="1D1BE438" w14:textId="77777777" w:rsidTr="00A34608">
        <w:trPr>
          <w:trHeight w:val="2400"/>
        </w:trPr>
        <w:tc>
          <w:tcPr>
            <w:tcW w:w="1011" w:type="dxa"/>
            <w:vMerge w:val="restart"/>
            <w:tcBorders>
              <w:top w:val="single" w:sz="4" w:space="0" w:color="auto"/>
              <w:left w:val="single" w:sz="4" w:space="0" w:color="auto"/>
              <w:right w:val="single" w:sz="4" w:space="0" w:color="auto"/>
            </w:tcBorders>
            <w:vAlign w:val="center"/>
          </w:tcPr>
          <w:p w14:paraId="694E190A" w14:textId="6D0C3127" w:rsidR="00926F57" w:rsidRPr="004513DA" w:rsidRDefault="00926F57" w:rsidP="00A34608">
            <w:pPr>
              <w:jc w:val="center"/>
              <w:rPr>
                <w:rFonts w:ascii="Garamond" w:eastAsia="Calibri" w:hAnsi="Garamond" w:cs="Arial"/>
                <w:sz w:val="24"/>
                <w:szCs w:val="24"/>
              </w:rPr>
            </w:pPr>
            <w:r w:rsidRPr="004513DA">
              <w:rPr>
                <w:rFonts w:ascii="Garamond" w:eastAsia="Calibri" w:hAnsi="Garamond" w:cs="Arial"/>
                <w:sz w:val="24"/>
                <w:szCs w:val="24"/>
              </w:rPr>
              <w:t>UDG3</w:t>
            </w:r>
          </w:p>
        </w:tc>
        <w:tc>
          <w:tcPr>
            <w:tcW w:w="1252" w:type="dxa"/>
            <w:vMerge w:val="restart"/>
            <w:tcBorders>
              <w:top w:val="single" w:sz="4" w:space="0" w:color="auto"/>
              <w:left w:val="single" w:sz="4" w:space="0" w:color="auto"/>
              <w:right w:val="single" w:sz="4" w:space="0" w:color="auto"/>
            </w:tcBorders>
            <w:vAlign w:val="center"/>
          </w:tcPr>
          <w:p w14:paraId="74238D57" w14:textId="7A04B827" w:rsidR="00926F57" w:rsidRPr="004513DA" w:rsidRDefault="00926F57" w:rsidP="00D24102">
            <w:pPr>
              <w:spacing w:after="200" w:line="276" w:lineRule="auto"/>
              <w:rPr>
                <w:rFonts w:ascii="Garamond" w:eastAsia="Calibri" w:hAnsi="Garamond" w:cs="Arial"/>
                <w:sz w:val="24"/>
                <w:szCs w:val="24"/>
              </w:rPr>
            </w:pPr>
            <w:r w:rsidRPr="004513DA">
              <w:rPr>
                <w:rFonts w:ascii="Garamond" w:eastAsia="Calibri" w:hAnsi="Garamond" w:cs="Arial"/>
                <w:sz w:val="24"/>
                <w:szCs w:val="24"/>
              </w:rPr>
              <w:t>Attività tecnico-amministrative relative ai progetti</w:t>
            </w:r>
          </w:p>
        </w:tc>
        <w:tc>
          <w:tcPr>
            <w:tcW w:w="2506" w:type="dxa"/>
            <w:vMerge w:val="restart"/>
            <w:tcBorders>
              <w:top w:val="single" w:sz="4" w:space="0" w:color="auto"/>
              <w:left w:val="single" w:sz="4" w:space="0" w:color="auto"/>
              <w:right w:val="single" w:sz="4" w:space="0" w:color="auto"/>
            </w:tcBorders>
            <w:vAlign w:val="center"/>
          </w:tcPr>
          <w:p w14:paraId="70CF09FA" w14:textId="3F0B0416" w:rsidR="00926F57" w:rsidRPr="004513DA" w:rsidRDefault="00926F57" w:rsidP="00A34608">
            <w:pPr>
              <w:rPr>
                <w:rFonts w:ascii="Garamond" w:eastAsia="Calibri" w:hAnsi="Garamond" w:cs="Arial"/>
                <w:sz w:val="24"/>
                <w:szCs w:val="24"/>
              </w:rPr>
            </w:pPr>
            <w:r w:rsidRPr="004513DA">
              <w:rPr>
                <w:rFonts w:ascii="Garamond" w:eastAsia="Calibri" w:hAnsi="Garamond" w:cs="Arial"/>
                <w:sz w:val="24"/>
                <w:szCs w:val="24"/>
              </w:rPr>
              <w:t>Supporto di secondo livello alla gestione amministrativa e rendicontazione dei progetti dei Centri di ricerca, avvalendosi di strumenti formali di Project Management</w:t>
            </w:r>
          </w:p>
        </w:tc>
        <w:tc>
          <w:tcPr>
            <w:tcW w:w="926" w:type="dxa"/>
            <w:vMerge w:val="restart"/>
            <w:tcBorders>
              <w:top w:val="single" w:sz="4" w:space="0" w:color="auto"/>
              <w:left w:val="single" w:sz="4" w:space="0" w:color="auto"/>
              <w:right w:val="single" w:sz="4" w:space="0" w:color="auto"/>
            </w:tcBorders>
            <w:vAlign w:val="center"/>
          </w:tcPr>
          <w:p w14:paraId="51BEBF3E" w14:textId="0489A75E" w:rsidR="00926F57" w:rsidRPr="004513DA" w:rsidRDefault="00926F57" w:rsidP="00A34608">
            <w:pPr>
              <w:jc w:val="center"/>
              <w:rPr>
                <w:rFonts w:ascii="Garamond" w:eastAsia="Calibri" w:hAnsi="Garamond" w:cs="Arial"/>
                <w:sz w:val="24"/>
                <w:szCs w:val="24"/>
              </w:rPr>
            </w:pPr>
            <w:r w:rsidRPr="004513DA">
              <w:rPr>
                <w:rFonts w:ascii="Garamond" w:eastAsia="Calibri" w:hAnsi="Garamond" w:cs="Arial"/>
                <w:sz w:val="24"/>
                <w:szCs w:val="24"/>
              </w:rPr>
              <w:t>Rischio medio</w:t>
            </w:r>
          </w:p>
        </w:tc>
        <w:tc>
          <w:tcPr>
            <w:tcW w:w="2386" w:type="dxa"/>
            <w:tcBorders>
              <w:top w:val="single" w:sz="4" w:space="0" w:color="auto"/>
              <w:left w:val="single" w:sz="4" w:space="0" w:color="auto"/>
              <w:bottom w:val="single" w:sz="4" w:space="0" w:color="auto"/>
              <w:right w:val="single" w:sz="4" w:space="0" w:color="auto"/>
            </w:tcBorders>
            <w:vAlign w:val="center"/>
          </w:tcPr>
          <w:p w14:paraId="1DBB9E71" w14:textId="23253B01" w:rsidR="00926F57" w:rsidRPr="004513DA" w:rsidRDefault="00926F57" w:rsidP="00A34608">
            <w:pPr>
              <w:rPr>
                <w:rFonts w:ascii="Garamond" w:eastAsia="Calibri" w:hAnsi="Garamond" w:cs="Arial"/>
                <w:sz w:val="24"/>
                <w:szCs w:val="24"/>
              </w:rPr>
            </w:pPr>
            <w:r w:rsidRPr="004513DA">
              <w:rPr>
                <w:rFonts w:ascii="Garamond" w:eastAsia="Calibri" w:hAnsi="Garamond" w:cs="Arial"/>
                <w:sz w:val="24"/>
                <w:szCs w:val="24"/>
              </w:rPr>
              <w:t>Riunioni mensili con gli Uffici progetti e contabilità dei Centri al fine di condividere problematiche comuni legate alla gestione e rendicontazione dei progetti tra cui quelli a valere sul PNRR e individuare misure correttive concertate</w:t>
            </w:r>
          </w:p>
        </w:tc>
        <w:tc>
          <w:tcPr>
            <w:tcW w:w="1547" w:type="dxa"/>
            <w:tcBorders>
              <w:top w:val="single" w:sz="4" w:space="0" w:color="auto"/>
              <w:left w:val="single" w:sz="4" w:space="0" w:color="auto"/>
              <w:bottom w:val="single" w:sz="4" w:space="0" w:color="auto"/>
              <w:right w:val="single" w:sz="4" w:space="0" w:color="auto"/>
            </w:tcBorders>
            <w:vAlign w:val="center"/>
          </w:tcPr>
          <w:p w14:paraId="41BA24A0" w14:textId="4F47EAE5" w:rsidR="00926F57" w:rsidRPr="004513DA" w:rsidRDefault="00AD2E29" w:rsidP="00A34608">
            <w:pPr>
              <w:jc w:val="center"/>
              <w:rPr>
                <w:rFonts w:ascii="Garamond" w:eastAsia="Calibri" w:hAnsi="Garamond" w:cs="Arial"/>
                <w:sz w:val="24"/>
                <w:szCs w:val="24"/>
              </w:rPr>
            </w:pPr>
            <w:r w:rsidRPr="004513DA">
              <w:rPr>
                <w:rFonts w:ascii="Garamond" w:eastAsia="Calibri" w:hAnsi="Garamond" w:cs="Arial"/>
                <w:sz w:val="24"/>
                <w:szCs w:val="24"/>
              </w:rPr>
              <w:t>adottata</w:t>
            </w:r>
          </w:p>
        </w:tc>
      </w:tr>
      <w:tr w:rsidR="00926F57" w:rsidRPr="004513DA" w14:paraId="3B3FA783" w14:textId="77777777" w:rsidTr="00A34608">
        <w:trPr>
          <w:trHeight w:val="2234"/>
        </w:trPr>
        <w:tc>
          <w:tcPr>
            <w:tcW w:w="1011" w:type="dxa"/>
            <w:vMerge/>
            <w:tcBorders>
              <w:left w:val="single" w:sz="4" w:space="0" w:color="auto"/>
              <w:right w:val="single" w:sz="4" w:space="0" w:color="auto"/>
            </w:tcBorders>
          </w:tcPr>
          <w:p w14:paraId="520F06DE" w14:textId="77777777" w:rsidR="00926F57" w:rsidRPr="004513DA" w:rsidRDefault="00926F57" w:rsidP="00D24F87">
            <w:pPr>
              <w:jc w:val="both"/>
              <w:rPr>
                <w:rFonts w:ascii="Garamond" w:eastAsia="Calibri" w:hAnsi="Garamond" w:cs="Arial"/>
                <w:b/>
                <w:bCs/>
                <w:sz w:val="24"/>
                <w:szCs w:val="24"/>
              </w:rPr>
            </w:pPr>
          </w:p>
        </w:tc>
        <w:tc>
          <w:tcPr>
            <w:tcW w:w="1252" w:type="dxa"/>
            <w:vMerge/>
            <w:tcBorders>
              <w:left w:val="single" w:sz="4" w:space="0" w:color="auto"/>
              <w:bottom w:val="single" w:sz="4" w:space="0" w:color="auto"/>
              <w:right w:val="single" w:sz="4" w:space="0" w:color="auto"/>
            </w:tcBorders>
          </w:tcPr>
          <w:p w14:paraId="25875A47" w14:textId="77777777" w:rsidR="00926F57" w:rsidRPr="004513DA" w:rsidRDefault="00926F57" w:rsidP="00D24F87">
            <w:pPr>
              <w:spacing w:line="276" w:lineRule="auto"/>
              <w:jc w:val="both"/>
              <w:rPr>
                <w:rFonts w:ascii="Garamond" w:eastAsia="Calibri" w:hAnsi="Garamond" w:cs="Arial"/>
                <w:sz w:val="24"/>
                <w:szCs w:val="24"/>
              </w:rPr>
            </w:pPr>
          </w:p>
        </w:tc>
        <w:tc>
          <w:tcPr>
            <w:tcW w:w="2506" w:type="dxa"/>
            <w:vMerge/>
            <w:tcBorders>
              <w:left w:val="single" w:sz="4" w:space="0" w:color="auto"/>
              <w:bottom w:val="single" w:sz="4" w:space="0" w:color="auto"/>
              <w:right w:val="single" w:sz="4" w:space="0" w:color="auto"/>
            </w:tcBorders>
          </w:tcPr>
          <w:p w14:paraId="549F1149" w14:textId="1809C1DA" w:rsidR="00926F57" w:rsidRPr="004513DA" w:rsidRDefault="00926F57" w:rsidP="00D24F87">
            <w:pPr>
              <w:jc w:val="both"/>
              <w:rPr>
                <w:rFonts w:ascii="Garamond" w:eastAsia="Calibri" w:hAnsi="Garamond" w:cs="Arial"/>
                <w:sz w:val="24"/>
                <w:szCs w:val="24"/>
              </w:rPr>
            </w:pPr>
          </w:p>
        </w:tc>
        <w:tc>
          <w:tcPr>
            <w:tcW w:w="926" w:type="dxa"/>
            <w:vMerge/>
            <w:tcBorders>
              <w:left w:val="single" w:sz="4" w:space="0" w:color="auto"/>
              <w:bottom w:val="single" w:sz="4" w:space="0" w:color="auto"/>
              <w:right w:val="single" w:sz="4" w:space="0" w:color="auto"/>
            </w:tcBorders>
          </w:tcPr>
          <w:p w14:paraId="7566FFE6" w14:textId="7682EEA2" w:rsidR="00926F57" w:rsidRPr="004513DA" w:rsidRDefault="00926F57" w:rsidP="00D24F87">
            <w:pPr>
              <w:jc w:val="both"/>
              <w:rPr>
                <w:rFonts w:ascii="Garamond" w:eastAsia="Calibri" w:hAnsi="Garamond" w:cs="Arial"/>
                <w:b/>
                <w:bCs/>
                <w:sz w:val="24"/>
                <w:szCs w:val="24"/>
              </w:rPr>
            </w:pPr>
          </w:p>
        </w:tc>
        <w:tc>
          <w:tcPr>
            <w:tcW w:w="2386" w:type="dxa"/>
            <w:tcBorders>
              <w:top w:val="single" w:sz="4" w:space="0" w:color="auto"/>
              <w:left w:val="single" w:sz="4" w:space="0" w:color="auto"/>
              <w:bottom w:val="single" w:sz="4" w:space="0" w:color="auto"/>
              <w:right w:val="single" w:sz="4" w:space="0" w:color="auto"/>
            </w:tcBorders>
            <w:vAlign w:val="center"/>
          </w:tcPr>
          <w:p w14:paraId="0B74075B" w14:textId="70CB60FB" w:rsidR="00926F57" w:rsidRPr="004513DA" w:rsidRDefault="00926F57" w:rsidP="00A34608">
            <w:pPr>
              <w:rPr>
                <w:rFonts w:ascii="Garamond" w:eastAsia="Calibri" w:hAnsi="Garamond" w:cs="Arial"/>
                <w:sz w:val="24"/>
                <w:szCs w:val="24"/>
              </w:rPr>
            </w:pPr>
            <w:r w:rsidRPr="004513DA">
              <w:rPr>
                <w:rFonts w:ascii="Garamond" w:eastAsia="Calibri" w:hAnsi="Garamond" w:cs="Arial"/>
                <w:sz w:val="24"/>
                <w:szCs w:val="24"/>
              </w:rPr>
              <w:t>Partecipazione del personale dell'Ufficio ad un gruppo di lavoro che favorisca occasioni di confronto con i Centri allo scopo di rilevare possibili criticità nella gestione dei progetti e condividere eventuali azioni e misure correttive omogenee</w:t>
            </w:r>
          </w:p>
        </w:tc>
        <w:tc>
          <w:tcPr>
            <w:tcW w:w="1547" w:type="dxa"/>
            <w:tcBorders>
              <w:top w:val="single" w:sz="4" w:space="0" w:color="auto"/>
              <w:left w:val="single" w:sz="4" w:space="0" w:color="auto"/>
              <w:bottom w:val="single" w:sz="4" w:space="0" w:color="auto"/>
              <w:right w:val="single" w:sz="4" w:space="0" w:color="auto"/>
            </w:tcBorders>
            <w:vAlign w:val="center"/>
          </w:tcPr>
          <w:p w14:paraId="7D4AD7A4" w14:textId="548849EF" w:rsidR="00926F57" w:rsidRPr="004513DA" w:rsidRDefault="00AD2E29" w:rsidP="00A34608">
            <w:pPr>
              <w:jc w:val="center"/>
              <w:rPr>
                <w:rFonts w:ascii="Garamond" w:eastAsia="Calibri" w:hAnsi="Garamond" w:cs="Arial"/>
                <w:sz w:val="24"/>
                <w:szCs w:val="24"/>
              </w:rPr>
            </w:pPr>
            <w:r w:rsidRPr="004513DA">
              <w:rPr>
                <w:rFonts w:ascii="Garamond" w:eastAsia="Calibri" w:hAnsi="Garamond" w:cs="Arial"/>
                <w:sz w:val="24"/>
                <w:szCs w:val="24"/>
              </w:rPr>
              <w:t>adottata</w:t>
            </w:r>
          </w:p>
        </w:tc>
      </w:tr>
      <w:tr w:rsidR="0031269E" w:rsidRPr="004513DA" w14:paraId="1D9489EF" w14:textId="77777777" w:rsidTr="00A34608">
        <w:trPr>
          <w:trHeight w:val="843"/>
        </w:trPr>
        <w:tc>
          <w:tcPr>
            <w:tcW w:w="1011" w:type="dxa"/>
            <w:vMerge w:val="restart"/>
            <w:tcBorders>
              <w:left w:val="single" w:sz="4" w:space="0" w:color="auto"/>
              <w:right w:val="single" w:sz="4" w:space="0" w:color="auto"/>
            </w:tcBorders>
            <w:vAlign w:val="center"/>
          </w:tcPr>
          <w:p w14:paraId="2CDDE5A5" w14:textId="0CD5245C" w:rsidR="0031269E" w:rsidRPr="0060425E" w:rsidRDefault="0031269E" w:rsidP="00A34608">
            <w:pPr>
              <w:jc w:val="center"/>
              <w:rPr>
                <w:rFonts w:ascii="Garamond" w:eastAsia="Calibri" w:hAnsi="Garamond" w:cs="Arial"/>
                <w:sz w:val="24"/>
                <w:szCs w:val="24"/>
              </w:rPr>
            </w:pPr>
            <w:r w:rsidRPr="0060425E">
              <w:rPr>
                <w:rFonts w:ascii="Garamond" w:eastAsia="Calibri" w:hAnsi="Garamond" w:cs="Arial"/>
                <w:sz w:val="24"/>
                <w:szCs w:val="24"/>
              </w:rPr>
              <w:lastRenderedPageBreak/>
              <w:t>UDG5</w:t>
            </w:r>
          </w:p>
        </w:tc>
        <w:tc>
          <w:tcPr>
            <w:tcW w:w="1252" w:type="dxa"/>
            <w:vMerge w:val="restart"/>
            <w:tcBorders>
              <w:top w:val="single" w:sz="4" w:space="0" w:color="auto"/>
              <w:left w:val="single" w:sz="4" w:space="0" w:color="auto"/>
              <w:right w:val="single" w:sz="4" w:space="0" w:color="auto"/>
            </w:tcBorders>
            <w:vAlign w:val="center"/>
          </w:tcPr>
          <w:p w14:paraId="57BFAE73" w14:textId="5B0DCB7A" w:rsidR="0031269E" w:rsidRPr="0060425E" w:rsidRDefault="0031269E" w:rsidP="00D24102">
            <w:pPr>
              <w:spacing w:line="276" w:lineRule="auto"/>
              <w:rPr>
                <w:rFonts w:ascii="Garamond" w:eastAsia="Calibri" w:hAnsi="Garamond" w:cs="Arial"/>
                <w:sz w:val="24"/>
                <w:szCs w:val="24"/>
              </w:rPr>
            </w:pPr>
            <w:r w:rsidRPr="0060425E">
              <w:rPr>
                <w:rFonts w:ascii="Garamond" w:eastAsia="Calibri" w:hAnsi="Garamond" w:cs="Arial"/>
                <w:sz w:val="24"/>
                <w:szCs w:val="24"/>
              </w:rPr>
              <w:t>Gestione titoli di proprietà intellettuale</w:t>
            </w:r>
          </w:p>
        </w:tc>
        <w:tc>
          <w:tcPr>
            <w:tcW w:w="2506" w:type="dxa"/>
            <w:tcBorders>
              <w:top w:val="single" w:sz="4" w:space="0" w:color="auto"/>
              <w:left w:val="single" w:sz="4" w:space="0" w:color="auto"/>
              <w:bottom w:val="single" w:sz="4" w:space="0" w:color="auto"/>
              <w:right w:val="single" w:sz="4" w:space="0" w:color="auto"/>
            </w:tcBorders>
            <w:vAlign w:val="center"/>
          </w:tcPr>
          <w:p w14:paraId="6F9464DD" w14:textId="30FA7BB8" w:rsidR="0031269E" w:rsidRPr="0060425E" w:rsidRDefault="0031269E" w:rsidP="00A34608">
            <w:pPr>
              <w:spacing w:after="200" w:line="276" w:lineRule="auto"/>
              <w:rPr>
                <w:rFonts w:ascii="Garamond" w:eastAsia="Calibri" w:hAnsi="Garamond" w:cs="Arial"/>
                <w:sz w:val="24"/>
                <w:szCs w:val="24"/>
              </w:rPr>
            </w:pPr>
            <w:r w:rsidRPr="0060425E">
              <w:rPr>
                <w:rFonts w:ascii="Garamond" w:eastAsia="Calibri" w:hAnsi="Garamond" w:cs="Arial"/>
                <w:sz w:val="24"/>
                <w:szCs w:val="24"/>
              </w:rPr>
              <w:t>Gestione delle procedure per il deposito di domande di brevetti, privative vegetali e marchi, di cui al Codice di Proprietà Industriale, e per il loro mantenimento.</w:t>
            </w:r>
          </w:p>
        </w:tc>
        <w:tc>
          <w:tcPr>
            <w:tcW w:w="926" w:type="dxa"/>
            <w:tcBorders>
              <w:top w:val="single" w:sz="4" w:space="0" w:color="auto"/>
              <w:left w:val="single" w:sz="4" w:space="0" w:color="auto"/>
              <w:bottom w:val="single" w:sz="4" w:space="0" w:color="auto"/>
              <w:right w:val="single" w:sz="4" w:space="0" w:color="auto"/>
            </w:tcBorders>
            <w:vAlign w:val="center"/>
          </w:tcPr>
          <w:p w14:paraId="2AEE727D" w14:textId="27BD5C37" w:rsidR="0031269E" w:rsidRPr="0060425E" w:rsidRDefault="0031269E" w:rsidP="00A34608">
            <w:pPr>
              <w:jc w:val="center"/>
              <w:rPr>
                <w:rFonts w:ascii="Garamond" w:eastAsia="Calibri" w:hAnsi="Garamond" w:cs="Arial"/>
                <w:sz w:val="24"/>
                <w:szCs w:val="24"/>
              </w:rPr>
            </w:pPr>
            <w:r w:rsidRPr="0060425E">
              <w:rPr>
                <w:rFonts w:ascii="Garamond" w:eastAsia="Calibri" w:hAnsi="Garamond" w:cs="Arial"/>
                <w:sz w:val="24"/>
                <w:szCs w:val="24"/>
              </w:rPr>
              <w:t>Rischio basso</w:t>
            </w:r>
          </w:p>
        </w:tc>
        <w:tc>
          <w:tcPr>
            <w:tcW w:w="2386" w:type="dxa"/>
            <w:tcBorders>
              <w:top w:val="single" w:sz="4" w:space="0" w:color="auto"/>
              <w:left w:val="single" w:sz="4" w:space="0" w:color="auto"/>
              <w:bottom w:val="single" w:sz="4" w:space="0" w:color="auto"/>
              <w:right w:val="single" w:sz="4" w:space="0" w:color="auto"/>
            </w:tcBorders>
            <w:vAlign w:val="center"/>
          </w:tcPr>
          <w:p w14:paraId="18AAF729" w14:textId="178833AC" w:rsidR="0031269E" w:rsidRPr="0060425E" w:rsidRDefault="0031269E" w:rsidP="00A34608">
            <w:pPr>
              <w:rPr>
                <w:rFonts w:ascii="Garamond" w:eastAsia="Calibri" w:hAnsi="Garamond" w:cs="Arial"/>
                <w:sz w:val="24"/>
                <w:szCs w:val="24"/>
              </w:rPr>
            </w:pPr>
            <w:r w:rsidRPr="0060425E">
              <w:rPr>
                <w:rFonts w:ascii="Garamond" w:eastAsia="Calibri" w:hAnsi="Garamond" w:cs="Arial"/>
                <w:sz w:val="24"/>
                <w:szCs w:val="24"/>
              </w:rPr>
              <w:t>Proposta nuovo regolamento della proprietà industriale del CREA</w:t>
            </w:r>
          </w:p>
        </w:tc>
        <w:tc>
          <w:tcPr>
            <w:tcW w:w="1547" w:type="dxa"/>
            <w:tcBorders>
              <w:top w:val="single" w:sz="4" w:space="0" w:color="auto"/>
              <w:left w:val="single" w:sz="4" w:space="0" w:color="auto"/>
              <w:bottom w:val="single" w:sz="4" w:space="0" w:color="auto"/>
              <w:right w:val="single" w:sz="4" w:space="0" w:color="auto"/>
            </w:tcBorders>
            <w:vAlign w:val="center"/>
          </w:tcPr>
          <w:p w14:paraId="71D899E3" w14:textId="23753F52" w:rsidR="0031269E" w:rsidRPr="0060425E" w:rsidRDefault="0031269E" w:rsidP="00A34608">
            <w:pPr>
              <w:jc w:val="center"/>
              <w:rPr>
                <w:rFonts w:ascii="Garamond" w:eastAsia="Calibri" w:hAnsi="Garamond" w:cs="Arial"/>
                <w:b/>
                <w:bCs/>
                <w:sz w:val="24"/>
                <w:szCs w:val="24"/>
              </w:rPr>
            </w:pPr>
            <w:r w:rsidRPr="0060425E">
              <w:rPr>
                <w:rFonts w:ascii="Garamond" w:eastAsia="Calibri" w:hAnsi="Garamond" w:cs="Arial"/>
                <w:b/>
                <w:bCs/>
                <w:sz w:val="24"/>
                <w:szCs w:val="24"/>
              </w:rPr>
              <w:t>riprogrammata</w:t>
            </w:r>
          </w:p>
        </w:tc>
      </w:tr>
      <w:tr w:rsidR="0031269E" w:rsidRPr="004513DA" w14:paraId="77DFB006" w14:textId="77777777" w:rsidTr="00310A8E">
        <w:trPr>
          <w:trHeight w:val="1073"/>
        </w:trPr>
        <w:tc>
          <w:tcPr>
            <w:tcW w:w="1011" w:type="dxa"/>
            <w:vMerge/>
            <w:tcBorders>
              <w:left w:val="single" w:sz="4" w:space="0" w:color="auto"/>
              <w:right w:val="single" w:sz="4" w:space="0" w:color="auto"/>
            </w:tcBorders>
          </w:tcPr>
          <w:p w14:paraId="52723A61" w14:textId="77777777" w:rsidR="0031269E" w:rsidRPr="0060425E" w:rsidRDefault="0031269E" w:rsidP="00D24F87">
            <w:pPr>
              <w:jc w:val="both"/>
              <w:rPr>
                <w:rFonts w:ascii="Garamond" w:eastAsia="Calibri" w:hAnsi="Garamond" w:cs="Arial"/>
                <w:b/>
                <w:bCs/>
                <w:sz w:val="24"/>
                <w:szCs w:val="24"/>
              </w:rPr>
            </w:pPr>
          </w:p>
        </w:tc>
        <w:tc>
          <w:tcPr>
            <w:tcW w:w="1252" w:type="dxa"/>
            <w:vMerge/>
            <w:tcBorders>
              <w:left w:val="single" w:sz="4" w:space="0" w:color="auto"/>
              <w:bottom w:val="single" w:sz="4" w:space="0" w:color="auto"/>
              <w:right w:val="single" w:sz="4" w:space="0" w:color="auto"/>
            </w:tcBorders>
          </w:tcPr>
          <w:p w14:paraId="0336850B" w14:textId="1ED88DDB" w:rsidR="0031269E" w:rsidRPr="0060425E" w:rsidRDefault="0031269E" w:rsidP="00D24102">
            <w:pPr>
              <w:spacing w:line="276" w:lineRule="auto"/>
              <w:rPr>
                <w:rFonts w:ascii="Garamond" w:eastAsia="Calibri" w:hAnsi="Garamond" w:cs="Arial"/>
                <w:sz w:val="24"/>
                <w:szCs w:val="24"/>
              </w:rPr>
            </w:pPr>
          </w:p>
        </w:tc>
        <w:tc>
          <w:tcPr>
            <w:tcW w:w="2506" w:type="dxa"/>
            <w:tcBorders>
              <w:top w:val="single" w:sz="4" w:space="0" w:color="auto"/>
              <w:left w:val="single" w:sz="4" w:space="0" w:color="auto"/>
              <w:bottom w:val="single" w:sz="4" w:space="0" w:color="auto"/>
              <w:right w:val="single" w:sz="4" w:space="0" w:color="auto"/>
            </w:tcBorders>
          </w:tcPr>
          <w:p w14:paraId="5D9A9664" w14:textId="74C6D69C" w:rsidR="0031269E" w:rsidRPr="0060425E" w:rsidRDefault="0031269E" w:rsidP="00D24F87">
            <w:pPr>
              <w:spacing w:after="200" w:line="276" w:lineRule="auto"/>
              <w:rPr>
                <w:rFonts w:ascii="Garamond" w:eastAsia="Calibri" w:hAnsi="Garamond" w:cs="Arial"/>
                <w:sz w:val="24"/>
                <w:szCs w:val="24"/>
              </w:rPr>
            </w:pPr>
            <w:r w:rsidRPr="0060425E">
              <w:rPr>
                <w:rFonts w:ascii="Garamond" w:eastAsia="Calibri" w:hAnsi="Garamond" w:cs="Arial"/>
                <w:sz w:val="24"/>
                <w:szCs w:val="24"/>
              </w:rPr>
              <w:t>Gestione dei processi per la costituzione degli spin-off dell'Ente e loro monitoraggio</w:t>
            </w:r>
          </w:p>
        </w:tc>
        <w:tc>
          <w:tcPr>
            <w:tcW w:w="926" w:type="dxa"/>
            <w:tcBorders>
              <w:top w:val="single" w:sz="4" w:space="0" w:color="auto"/>
              <w:left w:val="single" w:sz="4" w:space="0" w:color="auto"/>
              <w:bottom w:val="single" w:sz="4" w:space="0" w:color="auto"/>
              <w:right w:val="single" w:sz="4" w:space="0" w:color="auto"/>
            </w:tcBorders>
            <w:vAlign w:val="center"/>
          </w:tcPr>
          <w:p w14:paraId="0E88584B" w14:textId="244A550F" w:rsidR="0031269E" w:rsidRPr="0060425E" w:rsidRDefault="00C06126" w:rsidP="00A34608">
            <w:pPr>
              <w:jc w:val="center"/>
              <w:rPr>
                <w:rFonts w:ascii="Garamond" w:eastAsia="Calibri" w:hAnsi="Garamond" w:cs="Arial"/>
                <w:sz w:val="24"/>
                <w:szCs w:val="24"/>
              </w:rPr>
            </w:pPr>
            <w:r w:rsidRPr="0060425E">
              <w:rPr>
                <w:rFonts w:ascii="Garamond" w:eastAsia="Calibri" w:hAnsi="Garamond" w:cs="Arial"/>
                <w:sz w:val="24"/>
                <w:szCs w:val="24"/>
              </w:rPr>
              <w:t>Rischio basso</w:t>
            </w:r>
          </w:p>
        </w:tc>
        <w:tc>
          <w:tcPr>
            <w:tcW w:w="2386" w:type="dxa"/>
            <w:tcBorders>
              <w:top w:val="single" w:sz="4" w:space="0" w:color="auto"/>
              <w:left w:val="single" w:sz="4" w:space="0" w:color="auto"/>
              <w:bottom w:val="single" w:sz="4" w:space="0" w:color="auto"/>
              <w:right w:val="single" w:sz="4" w:space="0" w:color="auto"/>
            </w:tcBorders>
            <w:vAlign w:val="center"/>
          </w:tcPr>
          <w:p w14:paraId="1FAFF72F" w14:textId="2C320D0B" w:rsidR="0031269E" w:rsidRPr="0060425E" w:rsidRDefault="00460C64" w:rsidP="00A34608">
            <w:pPr>
              <w:jc w:val="center"/>
              <w:rPr>
                <w:rFonts w:ascii="Garamond" w:eastAsia="Calibri" w:hAnsi="Garamond" w:cs="Arial"/>
                <w:sz w:val="24"/>
                <w:szCs w:val="24"/>
              </w:rPr>
            </w:pPr>
            <w:r w:rsidRPr="0060425E">
              <w:rPr>
                <w:rFonts w:ascii="Garamond" w:eastAsia="Calibri" w:hAnsi="Garamond" w:cs="Arial"/>
                <w:sz w:val="24"/>
                <w:szCs w:val="24"/>
              </w:rPr>
              <w:t>Proposta di modifica del Regolamento spin off</w:t>
            </w:r>
          </w:p>
        </w:tc>
        <w:tc>
          <w:tcPr>
            <w:tcW w:w="1547" w:type="dxa"/>
            <w:tcBorders>
              <w:top w:val="single" w:sz="4" w:space="0" w:color="auto"/>
              <w:left w:val="single" w:sz="4" w:space="0" w:color="auto"/>
              <w:bottom w:val="single" w:sz="4" w:space="0" w:color="auto"/>
              <w:right w:val="single" w:sz="4" w:space="0" w:color="auto"/>
            </w:tcBorders>
            <w:vAlign w:val="center"/>
          </w:tcPr>
          <w:p w14:paraId="3CAA99EB" w14:textId="05658A3F" w:rsidR="0031269E" w:rsidRPr="0060425E" w:rsidRDefault="00B46DC9" w:rsidP="00A34608">
            <w:pPr>
              <w:jc w:val="center"/>
              <w:rPr>
                <w:rFonts w:ascii="Garamond" w:eastAsia="Calibri" w:hAnsi="Garamond" w:cs="Arial"/>
                <w:b/>
                <w:bCs/>
                <w:sz w:val="24"/>
                <w:szCs w:val="24"/>
              </w:rPr>
            </w:pPr>
            <w:r w:rsidRPr="0060425E">
              <w:rPr>
                <w:rFonts w:ascii="Garamond" w:eastAsia="Calibri" w:hAnsi="Garamond" w:cs="Arial"/>
                <w:b/>
                <w:bCs/>
                <w:sz w:val="24"/>
                <w:szCs w:val="24"/>
              </w:rPr>
              <w:t>riprogrammata</w:t>
            </w:r>
          </w:p>
        </w:tc>
      </w:tr>
      <w:tr w:rsidR="006A41CF" w:rsidRPr="004513DA" w14:paraId="785F0D1F" w14:textId="77777777" w:rsidTr="00310A8E">
        <w:trPr>
          <w:trHeight w:val="1174"/>
        </w:trPr>
        <w:tc>
          <w:tcPr>
            <w:tcW w:w="1011" w:type="dxa"/>
            <w:tcBorders>
              <w:left w:val="single" w:sz="4" w:space="0" w:color="auto"/>
              <w:right w:val="single" w:sz="4" w:space="0" w:color="auto"/>
            </w:tcBorders>
            <w:vAlign w:val="center"/>
          </w:tcPr>
          <w:p w14:paraId="0F0EF5B6" w14:textId="2B780B69" w:rsidR="006A41CF" w:rsidRPr="0060425E" w:rsidRDefault="006A41CF" w:rsidP="00310A8E">
            <w:pPr>
              <w:jc w:val="center"/>
              <w:rPr>
                <w:rFonts w:ascii="Garamond" w:eastAsia="Calibri" w:hAnsi="Garamond" w:cs="Arial"/>
                <w:sz w:val="24"/>
                <w:szCs w:val="24"/>
              </w:rPr>
            </w:pPr>
            <w:r w:rsidRPr="0060425E">
              <w:rPr>
                <w:rFonts w:ascii="Garamond" w:eastAsia="Calibri" w:hAnsi="Garamond" w:cs="Arial"/>
                <w:sz w:val="24"/>
                <w:szCs w:val="24"/>
              </w:rPr>
              <w:t>UDG6</w:t>
            </w:r>
          </w:p>
        </w:tc>
        <w:tc>
          <w:tcPr>
            <w:tcW w:w="1252" w:type="dxa"/>
            <w:tcBorders>
              <w:left w:val="single" w:sz="4" w:space="0" w:color="auto"/>
              <w:bottom w:val="single" w:sz="4" w:space="0" w:color="auto"/>
              <w:right w:val="single" w:sz="4" w:space="0" w:color="auto"/>
            </w:tcBorders>
            <w:vAlign w:val="center"/>
          </w:tcPr>
          <w:p w14:paraId="4BF50C33" w14:textId="72D6027B" w:rsidR="006A41CF" w:rsidRPr="0060425E" w:rsidRDefault="000C7B6D" w:rsidP="00D24102">
            <w:pPr>
              <w:spacing w:line="276" w:lineRule="auto"/>
              <w:rPr>
                <w:rFonts w:ascii="Garamond" w:eastAsia="Calibri" w:hAnsi="Garamond" w:cs="Arial"/>
                <w:sz w:val="24"/>
                <w:szCs w:val="24"/>
              </w:rPr>
            </w:pPr>
            <w:r w:rsidRPr="0060425E">
              <w:rPr>
                <w:rFonts w:ascii="Garamond" w:eastAsia="Calibri" w:hAnsi="Garamond" w:cs="Arial"/>
                <w:sz w:val="24"/>
                <w:szCs w:val="24"/>
              </w:rPr>
              <w:t>Gestione aziende</w:t>
            </w:r>
          </w:p>
        </w:tc>
        <w:tc>
          <w:tcPr>
            <w:tcW w:w="2506" w:type="dxa"/>
            <w:tcBorders>
              <w:top w:val="single" w:sz="4" w:space="0" w:color="auto"/>
              <w:left w:val="single" w:sz="4" w:space="0" w:color="auto"/>
              <w:bottom w:val="single" w:sz="4" w:space="0" w:color="auto"/>
              <w:right w:val="single" w:sz="4" w:space="0" w:color="auto"/>
            </w:tcBorders>
            <w:vAlign w:val="center"/>
          </w:tcPr>
          <w:p w14:paraId="12E1EC81" w14:textId="29353572" w:rsidR="006A41CF" w:rsidRPr="0060425E" w:rsidRDefault="000C7B6D" w:rsidP="00310A8E">
            <w:pPr>
              <w:spacing w:after="200" w:line="276" w:lineRule="auto"/>
              <w:rPr>
                <w:rFonts w:ascii="Garamond" w:eastAsia="Calibri" w:hAnsi="Garamond" w:cs="Arial"/>
                <w:sz w:val="24"/>
                <w:szCs w:val="24"/>
              </w:rPr>
            </w:pPr>
            <w:r w:rsidRPr="0060425E">
              <w:rPr>
                <w:rFonts w:ascii="Garamond" w:eastAsia="Calibri" w:hAnsi="Garamond" w:cs="Arial"/>
                <w:sz w:val="24"/>
                <w:szCs w:val="24"/>
              </w:rPr>
              <w:t>Valorizzazione prodotti delle aziende anche mediante ottimizzazione delle vendite a terzi</w:t>
            </w:r>
          </w:p>
        </w:tc>
        <w:tc>
          <w:tcPr>
            <w:tcW w:w="926" w:type="dxa"/>
            <w:tcBorders>
              <w:top w:val="single" w:sz="4" w:space="0" w:color="auto"/>
              <w:left w:val="single" w:sz="4" w:space="0" w:color="auto"/>
              <w:bottom w:val="single" w:sz="4" w:space="0" w:color="auto"/>
              <w:right w:val="single" w:sz="4" w:space="0" w:color="auto"/>
            </w:tcBorders>
            <w:vAlign w:val="center"/>
          </w:tcPr>
          <w:p w14:paraId="003ABA87" w14:textId="7FEADE14" w:rsidR="006A41CF" w:rsidRPr="0060425E" w:rsidRDefault="00B73525" w:rsidP="00310A8E">
            <w:pPr>
              <w:rPr>
                <w:rFonts w:ascii="Garamond" w:eastAsia="Calibri" w:hAnsi="Garamond" w:cs="Arial"/>
                <w:sz w:val="24"/>
                <w:szCs w:val="24"/>
              </w:rPr>
            </w:pPr>
            <w:r w:rsidRPr="0060425E">
              <w:rPr>
                <w:rFonts w:ascii="Garamond" w:eastAsia="Calibri" w:hAnsi="Garamond" w:cs="Arial"/>
                <w:sz w:val="24"/>
                <w:szCs w:val="24"/>
              </w:rPr>
              <w:t>Rischio basso</w:t>
            </w:r>
          </w:p>
        </w:tc>
        <w:tc>
          <w:tcPr>
            <w:tcW w:w="2386" w:type="dxa"/>
            <w:tcBorders>
              <w:top w:val="single" w:sz="4" w:space="0" w:color="auto"/>
              <w:left w:val="single" w:sz="4" w:space="0" w:color="auto"/>
              <w:bottom w:val="single" w:sz="4" w:space="0" w:color="auto"/>
              <w:right w:val="single" w:sz="4" w:space="0" w:color="auto"/>
            </w:tcBorders>
            <w:vAlign w:val="center"/>
          </w:tcPr>
          <w:p w14:paraId="68128038" w14:textId="6D27183E" w:rsidR="006A41CF" w:rsidRPr="0060425E" w:rsidRDefault="00F03DE4" w:rsidP="00310A8E">
            <w:pPr>
              <w:rPr>
                <w:rFonts w:ascii="Garamond" w:eastAsia="Calibri" w:hAnsi="Garamond" w:cs="Arial"/>
                <w:sz w:val="24"/>
                <w:szCs w:val="24"/>
              </w:rPr>
            </w:pPr>
            <w:r w:rsidRPr="0060425E">
              <w:rPr>
                <w:rFonts w:ascii="Garamond" w:eastAsia="Calibri" w:hAnsi="Garamond" w:cs="Arial"/>
                <w:sz w:val="24"/>
                <w:szCs w:val="24"/>
              </w:rPr>
              <w:t>Aggiornamento del Regolamento per la vendita di prodotti agricoli adottato con decreto del CS n. 85 del 22.10.2019</w:t>
            </w:r>
          </w:p>
        </w:tc>
        <w:tc>
          <w:tcPr>
            <w:tcW w:w="1547" w:type="dxa"/>
            <w:tcBorders>
              <w:top w:val="single" w:sz="4" w:space="0" w:color="auto"/>
              <w:left w:val="single" w:sz="4" w:space="0" w:color="auto"/>
              <w:bottom w:val="single" w:sz="4" w:space="0" w:color="auto"/>
              <w:right w:val="single" w:sz="4" w:space="0" w:color="auto"/>
            </w:tcBorders>
            <w:vAlign w:val="center"/>
          </w:tcPr>
          <w:p w14:paraId="28CDC082" w14:textId="5625DB93" w:rsidR="006A41CF" w:rsidRPr="0060425E" w:rsidRDefault="006B1D49" w:rsidP="00310A8E">
            <w:pPr>
              <w:jc w:val="center"/>
              <w:rPr>
                <w:rFonts w:ascii="Garamond" w:eastAsia="Calibri" w:hAnsi="Garamond" w:cs="Arial"/>
                <w:b/>
                <w:bCs/>
                <w:sz w:val="24"/>
                <w:szCs w:val="24"/>
              </w:rPr>
            </w:pPr>
            <w:r w:rsidRPr="0060425E">
              <w:rPr>
                <w:rFonts w:ascii="Garamond" w:eastAsia="Calibri" w:hAnsi="Garamond" w:cs="Arial"/>
                <w:b/>
                <w:bCs/>
                <w:sz w:val="24"/>
                <w:szCs w:val="24"/>
              </w:rPr>
              <w:t>riprogrammata</w:t>
            </w:r>
          </w:p>
        </w:tc>
      </w:tr>
      <w:tr w:rsidR="00941B59" w:rsidRPr="004513DA" w14:paraId="46B26923" w14:textId="77777777" w:rsidTr="00310A8E">
        <w:trPr>
          <w:trHeight w:val="843"/>
        </w:trPr>
        <w:tc>
          <w:tcPr>
            <w:tcW w:w="1011" w:type="dxa"/>
            <w:tcBorders>
              <w:left w:val="single" w:sz="4" w:space="0" w:color="auto"/>
              <w:right w:val="single" w:sz="4" w:space="0" w:color="auto"/>
            </w:tcBorders>
            <w:vAlign w:val="center"/>
          </w:tcPr>
          <w:p w14:paraId="51BCFA42" w14:textId="77777777" w:rsidR="00941B59" w:rsidRPr="007D539E" w:rsidRDefault="00941B59" w:rsidP="00310A8E">
            <w:pPr>
              <w:jc w:val="center"/>
              <w:rPr>
                <w:rFonts w:ascii="Garamond" w:eastAsia="Calibri" w:hAnsi="Garamond" w:cs="Arial"/>
                <w:sz w:val="24"/>
                <w:szCs w:val="24"/>
              </w:rPr>
            </w:pPr>
            <w:r w:rsidRPr="007D539E">
              <w:rPr>
                <w:rFonts w:ascii="Garamond" w:eastAsia="Calibri" w:hAnsi="Garamond" w:cs="Arial"/>
                <w:sz w:val="24"/>
                <w:szCs w:val="24"/>
              </w:rPr>
              <w:t>UDG8</w:t>
            </w:r>
          </w:p>
        </w:tc>
        <w:tc>
          <w:tcPr>
            <w:tcW w:w="1252" w:type="dxa"/>
            <w:tcBorders>
              <w:top w:val="single" w:sz="4" w:space="0" w:color="auto"/>
              <w:left w:val="single" w:sz="4" w:space="0" w:color="auto"/>
              <w:bottom w:val="single" w:sz="4" w:space="0" w:color="auto"/>
              <w:right w:val="single" w:sz="4" w:space="0" w:color="auto"/>
            </w:tcBorders>
            <w:vAlign w:val="center"/>
          </w:tcPr>
          <w:p w14:paraId="59D9A41F" w14:textId="77777777" w:rsidR="00941B59" w:rsidRPr="007D539E" w:rsidRDefault="00941B59" w:rsidP="00D24102">
            <w:pPr>
              <w:spacing w:line="276" w:lineRule="auto"/>
              <w:rPr>
                <w:rFonts w:ascii="Garamond" w:eastAsia="Calibri" w:hAnsi="Garamond" w:cs="Arial"/>
                <w:sz w:val="24"/>
                <w:szCs w:val="24"/>
              </w:rPr>
            </w:pPr>
            <w:r w:rsidRPr="007D539E">
              <w:rPr>
                <w:rFonts w:ascii="Garamond" w:eastAsia="Calibri" w:hAnsi="Garamond" w:cs="Arial"/>
                <w:sz w:val="24"/>
                <w:szCs w:val="24"/>
              </w:rPr>
              <w:t>Gestione sicurezza informatica</w:t>
            </w:r>
          </w:p>
        </w:tc>
        <w:tc>
          <w:tcPr>
            <w:tcW w:w="2506" w:type="dxa"/>
            <w:tcBorders>
              <w:top w:val="single" w:sz="4" w:space="0" w:color="auto"/>
              <w:left w:val="single" w:sz="4" w:space="0" w:color="auto"/>
              <w:bottom w:val="single" w:sz="4" w:space="0" w:color="auto"/>
              <w:right w:val="single" w:sz="4" w:space="0" w:color="auto"/>
            </w:tcBorders>
            <w:vAlign w:val="center"/>
          </w:tcPr>
          <w:p w14:paraId="0D7A138E" w14:textId="77777777" w:rsidR="00941B59" w:rsidRPr="007D539E" w:rsidRDefault="00941B59" w:rsidP="00310A8E">
            <w:pPr>
              <w:spacing w:after="200" w:line="276" w:lineRule="auto"/>
              <w:rPr>
                <w:rFonts w:ascii="Garamond" w:eastAsia="Calibri" w:hAnsi="Garamond" w:cs="Arial"/>
                <w:sz w:val="24"/>
                <w:szCs w:val="24"/>
              </w:rPr>
            </w:pPr>
            <w:r w:rsidRPr="007D539E">
              <w:rPr>
                <w:rFonts w:ascii="Garamond" w:eastAsia="Calibri" w:hAnsi="Garamond" w:cs="Arial"/>
                <w:sz w:val="24"/>
                <w:szCs w:val="24"/>
              </w:rPr>
              <w:t>Gestione sicurezza dati, in particolare dati sensibili o personali.</w:t>
            </w:r>
          </w:p>
        </w:tc>
        <w:tc>
          <w:tcPr>
            <w:tcW w:w="926" w:type="dxa"/>
            <w:tcBorders>
              <w:top w:val="single" w:sz="4" w:space="0" w:color="auto"/>
              <w:left w:val="single" w:sz="4" w:space="0" w:color="auto"/>
              <w:bottom w:val="single" w:sz="4" w:space="0" w:color="auto"/>
              <w:right w:val="single" w:sz="4" w:space="0" w:color="auto"/>
            </w:tcBorders>
            <w:vAlign w:val="center"/>
          </w:tcPr>
          <w:p w14:paraId="1F4CDD58" w14:textId="1DAC473B" w:rsidR="00941B59" w:rsidRPr="007D539E" w:rsidRDefault="00941B59" w:rsidP="00310A8E">
            <w:pPr>
              <w:jc w:val="center"/>
              <w:rPr>
                <w:rFonts w:ascii="Garamond" w:eastAsia="Calibri" w:hAnsi="Garamond" w:cs="Arial"/>
                <w:sz w:val="24"/>
                <w:szCs w:val="24"/>
              </w:rPr>
            </w:pPr>
            <w:r w:rsidRPr="007D539E">
              <w:rPr>
                <w:rFonts w:ascii="Garamond" w:eastAsia="Calibri" w:hAnsi="Garamond" w:cs="Arial"/>
                <w:sz w:val="24"/>
                <w:szCs w:val="24"/>
              </w:rPr>
              <w:t>Rischio m</w:t>
            </w:r>
            <w:r w:rsidR="008F70D3" w:rsidRPr="007D539E">
              <w:rPr>
                <w:rFonts w:ascii="Garamond" w:eastAsia="Calibri" w:hAnsi="Garamond" w:cs="Arial"/>
                <w:sz w:val="24"/>
                <w:szCs w:val="24"/>
              </w:rPr>
              <w:t>olto alto</w:t>
            </w:r>
          </w:p>
        </w:tc>
        <w:tc>
          <w:tcPr>
            <w:tcW w:w="2386" w:type="dxa"/>
            <w:tcBorders>
              <w:top w:val="single" w:sz="4" w:space="0" w:color="auto"/>
              <w:left w:val="single" w:sz="4" w:space="0" w:color="auto"/>
              <w:bottom w:val="single" w:sz="4" w:space="0" w:color="auto"/>
              <w:right w:val="single" w:sz="4" w:space="0" w:color="auto"/>
            </w:tcBorders>
            <w:vAlign w:val="center"/>
          </w:tcPr>
          <w:p w14:paraId="62D439A1" w14:textId="385BFE2E" w:rsidR="00941B59" w:rsidRPr="007D539E" w:rsidRDefault="00FF0C63" w:rsidP="00310A8E">
            <w:pPr>
              <w:rPr>
                <w:rFonts w:ascii="Garamond" w:eastAsia="Calibri" w:hAnsi="Garamond" w:cs="Arial"/>
                <w:sz w:val="24"/>
                <w:szCs w:val="24"/>
              </w:rPr>
            </w:pPr>
            <w:r w:rsidRPr="007D539E">
              <w:rPr>
                <w:rFonts w:ascii="Garamond" w:eastAsia="Calibri" w:hAnsi="Garamond" w:cs="Arial"/>
                <w:sz w:val="24"/>
                <w:szCs w:val="24"/>
              </w:rPr>
              <w:t>Adozione di documento contenente l'analisi dei rischi e relativo sistema di gestione</w:t>
            </w:r>
          </w:p>
        </w:tc>
        <w:tc>
          <w:tcPr>
            <w:tcW w:w="1547" w:type="dxa"/>
            <w:tcBorders>
              <w:top w:val="single" w:sz="4" w:space="0" w:color="auto"/>
              <w:left w:val="single" w:sz="4" w:space="0" w:color="auto"/>
              <w:bottom w:val="single" w:sz="4" w:space="0" w:color="auto"/>
              <w:right w:val="single" w:sz="4" w:space="0" w:color="auto"/>
            </w:tcBorders>
            <w:vAlign w:val="center"/>
          </w:tcPr>
          <w:p w14:paraId="02B3CC54" w14:textId="159DE7B4" w:rsidR="00941B59" w:rsidRPr="007D539E" w:rsidRDefault="00661975" w:rsidP="00310A8E">
            <w:pPr>
              <w:jc w:val="center"/>
              <w:rPr>
                <w:rFonts w:ascii="Garamond" w:eastAsia="Calibri" w:hAnsi="Garamond" w:cs="Arial"/>
                <w:b/>
                <w:bCs/>
                <w:sz w:val="24"/>
                <w:szCs w:val="24"/>
              </w:rPr>
            </w:pPr>
            <w:r w:rsidRPr="007D539E">
              <w:rPr>
                <w:rFonts w:ascii="Garamond" w:eastAsia="Calibri" w:hAnsi="Garamond" w:cs="Arial"/>
                <w:b/>
                <w:bCs/>
                <w:sz w:val="24"/>
                <w:szCs w:val="24"/>
              </w:rPr>
              <w:t>riprogrammata</w:t>
            </w:r>
          </w:p>
        </w:tc>
      </w:tr>
      <w:tr w:rsidR="00941B59" w:rsidRPr="004513DA" w14:paraId="63E83F78" w14:textId="77777777" w:rsidTr="00FD278F">
        <w:trPr>
          <w:trHeight w:val="607"/>
        </w:trPr>
        <w:tc>
          <w:tcPr>
            <w:tcW w:w="1011" w:type="dxa"/>
            <w:tcBorders>
              <w:left w:val="single" w:sz="4" w:space="0" w:color="auto"/>
              <w:right w:val="single" w:sz="4" w:space="0" w:color="auto"/>
            </w:tcBorders>
            <w:vAlign w:val="center"/>
          </w:tcPr>
          <w:p w14:paraId="3E2EB443" w14:textId="7046D766" w:rsidR="00941B59" w:rsidRPr="007D539E" w:rsidRDefault="00941B59" w:rsidP="00FD278F">
            <w:pPr>
              <w:jc w:val="center"/>
              <w:rPr>
                <w:rFonts w:ascii="Garamond" w:eastAsia="Calibri" w:hAnsi="Garamond" w:cs="Arial"/>
                <w:sz w:val="24"/>
                <w:szCs w:val="24"/>
              </w:rPr>
            </w:pPr>
            <w:r w:rsidRPr="007D539E">
              <w:rPr>
                <w:rFonts w:ascii="Garamond" w:eastAsia="Calibri" w:hAnsi="Garamond" w:cs="Arial"/>
                <w:sz w:val="24"/>
                <w:szCs w:val="24"/>
              </w:rPr>
              <w:t>USC</w:t>
            </w:r>
            <w:r w:rsidR="00764D30" w:rsidRPr="007D539E">
              <w:rPr>
                <w:rFonts w:ascii="Garamond" w:eastAsia="Calibri" w:hAnsi="Garamond" w:cs="Arial"/>
                <w:sz w:val="24"/>
                <w:szCs w:val="24"/>
              </w:rPr>
              <w:t>1</w:t>
            </w:r>
          </w:p>
        </w:tc>
        <w:tc>
          <w:tcPr>
            <w:tcW w:w="1252" w:type="dxa"/>
            <w:tcBorders>
              <w:top w:val="single" w:sz="4" w:space="0" w:color="auto"/>
              <w:left w:val="single" w:sz="4" w:space="0" w:color="auto"/>
              <w:bottom w:val="single" w:sz="4" w:space="0" w:color="auto"/>
              <w:right w:val="single" w:sz="4" w:space="0" w:color="auto"/>
            </w:tcBorders>
            <w:vAlign w:val="center"/>
          </w:tcPr>
          <w:p w14:paraId="20C64363" w14:textId="262DCCA4" w:rsidR="00941B59" w:rsidRPr="007D539E" w:rsidRDefault="00FB4B2B" w:rsidP="00D24102">
            <w:pPr>
              <w:spacing w:line="276" w:lineRule="auto"/>
              <w:rPr>
                <w:rFonts w:ascii="Garamond" w:eastAsia="Calibri" w:hAnsi="Garamond" w:cs="Arial"/>
                <w:sz w:val="24"/>
                <w:szCs w:val="24"/>
              </w:rPr>
            </w:pPr>
            <w:r w:rsidRPr="007D539E">
              <w:rPr>
                <w:rFonts w:ascii="Garamond" w:eastAsia="Calibri" w:hAnsi="Garamond" w:cs="Arial"/>
                <w:sz w:val="24"/>
                <w:szCs w:val="24"/>
              </w:rPr>
              <w:t>Gestione procedure di attivazione e stipula contratti collaborazione occasionale e professionale</w:t>
            </w:r>
          </w:p>
        </w:tc>
        <w:tc>
          <w:tcPr>
            <w:tcW w:w="2506" w:type="dxa"/>
            <w:tcBorders>
              <w:top w:val="single" w:sz="4" w:space="0" w:color="auto"/>
              <w:left w:val="single" w:sz="4" w:space="0" w:color="auto"/>
              <w:bottom w:val="single" w:sz="4" w:space="0" w:color="auto"/>
              <w:right w:val="single" w:sz="4" w:space="0" w:color="auto"/>
            </w:tcBorders>
            <w:vAlign w:val="center"/>
          </w:tcPr>
          <w:p w14:paraId="7113E6A8" w14:textId="26BE1267" w:rsidR="00941B59" w:rsidRPr="007D539E" w:rsidRDefault="00FB4B2B" w:rsidP="00310A8E">
            <w:pPr>
              <w:spacing w:after="200" w:line="276" w:lineRule="auto"/>
              <w:rPr>
                <w:rFonts w:ascii="Garamond" w:eastAsia="Calibri" w:hAnsi="Garamond" w:cs="Arial"/>
                <w:sz w:val="24"/>
                <w:szCs w:val="24"/>
              </w:rPr>
            </w:pPr>
            <w:r w:rsidRPr="007D539E">
              <w:rPr>
                <w:rFonts w:ascii="Garamond" w:eastAsia="Calibri" w:hAnsi="Garamond" w:cs="Arial"/>
                <w:sz w:val="24"/>
                <w:szCs w:val="24"/>
              </w:rPr>
              <w:t>Gestione delle procedure di attivazione e stipula contratti di collaborazione occasionale e professionale per l'Amministrazione Centrale</w:t>
            </w:r>
          </w:p>
        </w:tc>
        <w:tc>
          <w:tcPr>
            <w:tcW w:w="926" w:type="dxa"/>
            <w:tcBorders>
              <w:top w:val="single" w:sz="4" w:space="0" w:color="auto"/>
              <w:left w:val="single" w:sz="4" w:space="0" w:color="auto"/>
              <w:bottom w:val="single" w:sz="4" w:space="0" w:color="auto"/>
              <w:right w:val="single" w:sz="4" w:space="0" w:color="auto"/>
            </w:tcBorders>
            <w:vAlign w:val="center"/>
          </w:tcPr>
          <w:p w14:paraId="2384B5FE" w14:textId="149DCDE0" w:rsidR="00941B59" w:rsidRPr="007D539E" w:rsidRDefault="00DD3ACD" w:rsidP="00310A8E">
            <w:pPr>
              <w:rPr>
                <w:rFonts w:ascii="Garamond" w:eastAsia="Calibri" w:hAnsi="Garamond" w:cs="Arial"/>
                <w:sz w:val="24"/>
                <w:szCs w:val="24"/>
              </w:rPr>
            </w:pPr>
            <w:r w:rsidRPr="007D539E">
              <w:rPr>
                <w:rFonts w:ascii="Garamond" w:eastAsia="Calibri" w:hAnsi="Garamond" w:cs="Arial"/>
                <w:sz w:val="24"/>
                <w:szCs w:val="24"/>
              </w:rPr>
              <w:t>Rischio molto alto</w:t>
            </w:r>
          </w:p>
        </w:tc>
        <w:tc>
          <w:tcPr>
            <w:tcW w:w="2386" w:type="dxa"/>
            <w:tcBorders>
              <w:top w:val="single" w:sz="4" w:space="0" w:color="auto"/>
              <w:left w:val="single" w:sz="4" w:space="0" w:color="auto"/>
              <w:bottom w:val="single" w:sz="4" w:space="0" w:color="auto"/>
              <w:right w:val="single" w:sz="4" w:space="0" w:color="auto"/>
            </w:tcBorders>
            <w:vAlign w:val="center"/>
          </w:tcPr>
          <w:p w14:paraId="35468799" w14:textId="5B2FC890" w:rsidR="00941B59" w:rsidRPr="007D539E" w:rsidRDefault="00DD3ACD" w:rsidP="00310A8E">
            <w:pPr>
              <w:rPr>
                <w:rFonts w:ascii="Garamond" w:eastAsia="Calibri" w:hAnsi="Garamond" w:cs="Arial"/>
                <w:sz w:val="24"/>
                <w:szCs w:val="24"/>
              </w:rPr>
            </w:pPr>
            <w:r w:rsidRPr="007D539E">
              <w:rPr>
                <w:rFonts w:ascii="Garamond" w:eastAsia="Calibri" w:hAnsi="Garamond" w:cs="Arial"/>
                <w:sz w:val="24"/>
                <w:szCs w:val="24"/>
              </w:rPr>
              <w:t xml:space="preserve">Aggiornamento delle disposizioni interne fornite nella </w:t>
            </w:r>
            <w:r w:rsidR="00893487" w:rsidRPr="007D539E">
              <w:rPr>
                <w:rFonts w:ascii="Garamond" w:eastAsia="Calibri" w:hAnsi="Garamond" w:cs="Arial"/>
                <w:sz w:val="24"/>
                <w:szCs w:val="24"/>
              </w:rPr>
              <w:t>materia con</w:t>
            </w:r>
            <w:r w:rsidRPr="007D539E">
              <w:rPr>
                <w:rFonts w:ascii="Garamond" w:eastAsia="Calibri" w:hAnsi="Garamond" w:cs="Arial"/>
                <w:sz w:val="24"/>
                <w:szCs w:val="24"/>
              </w:rPr>
              <w:t xml:space="preserve"> circolare n. 6/2020 "Conferimento di incarichi esterni presso il CREA"</w:t>
            </w:r>
          </w:p>
        </w:tc>
        <w:tc>
          <w:tcPr>
            <w:tcW w:w="1547" w:type="dxa"/>
            <w:tcBorders>
              <w:top w:val="single" w:sz="4" w:space="0" w:color="auto"/>
              <w:left w:val="single" w:sz="4" w:space="0" w:color="auto"/>
              <w:bottom w:val="single" w:sz="4" w:space="0" w:color="auto"/>
              <w:right w:val="single" w:sz="4" w:space="0" w:color="auto"/>
            </w:tcBorders>
            <w:vAlign w:val="center"/>
          </w:tcPr>
          <w:p w14:paraId="6DCCC681" w14:textId="4578251B" w:rsidR="00941B59" w:rsidRPr="007D539E" w:rsidRDefault="007D539E" w:rsidP="00310A8E">
            <w:pPr>
              <w:jc w:val="center"/>
              <w:rPr>
                <w:rFonts w:ascii="Garamond" w:eastAsia="Calibri" w:hAnsi="Garamond" w:cs="Arial"/>
                <w:b/>
                <w:bCs/>
                <w:sz w:val="24"/>
                <w:szCs w:val="24"/>
              </w:rPr>
            </w:pPr>
            <w:r w:rsidRPr="007D539E">
              <w:rPr>
                <w:rFonts w:ascii="Garamond" w:eastAsia="Calibri" w:hAnsi="Garamond" w:cs="Arial"/>
                <w:b/>
                <w:bCs/>
                <w:sz w:val="24"/>
                <w:szCs w:val="24"/>
              </w:rPr>
              <w:t>riprogrammata</w:t>
            </w:r>
          </w:p>
        </w:tc>
      </w:tr>
      <w:tr w:rsidR="00683956" w:rsidRPr="004513DA" w14:paraId="0117C664" w14:textId="77777777" w:rsidTr="00310A8E">
        <w:trPr>
          <w:trHeight w:val="1400"/>
        </w:trPr>
        <w:tc>
          <w:tcPr>
            <w:tcW w:w="1011" w:type="dxa"/>
            <w:tcBorders>
              <w:left w:val="single" w:sz="4" w:space="0" w:color="auto"/>
              <w:right w:val="single" w:sz="4" w:space="0" w:color="auto"/>
            </w:tcBorders>
            <w:vAlign w:val="center"/>
          </w:tcPr>
          <w:p w14:paraId="051CB6A1" w14:textId="04935DD1" w:rsidR="00683956" w:rsidRPr="004513DA" w:rsidRDefault="00683956" w:rsidP="00D24F87">
            <w:pPr>
              <w:jc w:val="both"/>
              <w:rPr>
                <w:rFonts w:ascii="Garamond" w:eastAsia="Calibri" w:hAnsi="Garamond" w:cs="Arial"/>
                <w:sz w:val="24"/>
                <w:szCs w:val="24"/>
              </w:rPr>
            </w:pPr>
            <w:r w:rsidRPr="004513DA">
              <w:rPr>
                <w:rFonts w:ascii="Garamond" w:eastAsia="Calibri" w:hAnsi="Garamond" w:cs="Arial"/>
                <w:sz w:val="24"/>
                <w:szCs w:val="24"/>
              </w:rPr>
              <w:t>USC2</w:t>
            </w:r>
          </w:p>
        </w:tc>
        <w:tc>
          <w:tcPr>
            <w:tcW w:w="1252" w:type="dxa"/>
            <w:tcBorders>
              <w:top w:val="single" w:sz="4" w:space="0" w:color="auto"/>
              <w:left w:val="single" w:sz="4" w:space="0" w:color="auto"/>
              <w:right w:val="single" w:sz="4" w:space="0" w:color="auto"/>
            </w:tcBorders>
            <w:vAlign w:val="center"/>
          </w:tcPr>
          <w:p w14:paraId="3996EFCB" w14:textId="7A55E7BE" w:rsidR="00683956" w:rsidRPr="004513DA" w:rsidRDefault="00683956" w:rsidP="00310A8E">
            <w:pPr>
              <w:spacing w:line="276" w:lineRule="auto"/>
              <w:rPr>
                <w:rFonts w:ascii="Garamond" w:eastAsia="Calibri" w:hAnsi="Garamond" w:cs="Arial"/>
                <w:sz w:val="24"/>
                <w:szCs w:val="24"/>
              </w:rPr>
            </w:pPr>
            <w:r w:rsidRPr="004513DA">
              <w:rPr>
                <w:rFonts w:ascii="Garamond" w:eastAsia="Calibri" w:hAnsi="Garamond" w:cs="Arial"/>
                <w:sz w:val="24"/>
                <w:szCs w:val="24"/>
              </w:rPr>
              <w:t>Bilancio di previsione</w:t>
            </w:r>
          </w:p>
        </w:tc>
        <w:tc>
          <w:tcPr>
            <w:tcW w:w="2506" w:type="dxa"/>
            <w:tcBorders>
              <w:top w:val="single" w:sz="4" w:space="0" w:color="auto"/>
              <w:left w:val="single" w:sz="4" w:space="0" w:color="auto"/>
              <w:right w:val="single" w:sz="4" w:space="0" w:color="auto"/>
            </w:tcBorders>
            <w:vAlign w:val="center"/>
          </w:tcPr>
          <w:p w14:paraId="6E7A0626" w14:textId="157C4D76" w:rsidR="00683956" w:rsidRPr="004513DA" w:rsidRDefault="00683956" w:rsidP="00310A8E">
            <w:pPr>
              <w:spacing w:after="200" w:line="276" w:lineRule="auto"/>
              <w:rPr>
                <w:rFonts w:ascii="Garamond" w:eastAsia="Calibri" w:hAnsi="Garamond" w:cs="Arial"/>
                <w:sz w:val="24"/>
                <w:szCs w:val="24"/>
              </w:rPr>
            </w:pPr>
            <w:r w:rsidRPr="004513DA">
              <w:rPr>
                <w:rFonts w:ascii="Garamond" w:eastAsia="Calibri" w:hAnsi="Garamond" w:cs="Arial"/>
                <w:sz w:val="24"/>
                <w:szCs w:val="24"/>
              </w:rPr>
              <w:t>Predisposizione dei provvedimenti di variazione e di assestamento</w:t>
            </w:r>
          </w:p>
        </w:tc>
        <w:tc>
          <w:tcPr>
            <w:tcW w:w="926" w:type="dxa"/>
            <w:tcBorders>
              <w:top w:val="single" w:sz="4" w:space="0" w:color="auto"/>
              <w:left w:val="single" w:sz="4" w:space="0" w:color="auto"/>
              <w:right w:val="single" w:sz="4" w:space="0" w:color="auto"/>
            </w:tcBorders>
            <w:vAlign w:val="center"/>
          </w:tcPr>
          <w:p w14:paraId="5A4AE3FA" w14:textId="2C612BD8" w:rsidR="00683956" w:rsidRPr="004513DA" w:rsidRDefault="00683956" w:rsidP="00310A8E">
            <w:pPr>
              <w:rPr>
                <w:rFonts w:ascii="Garamond" w:eastAsia="Calibri" w:hAnsi="Garamond" w:cs="Arial"/>
                <w:sz w:val="24"/>
                <w:szCs w:val="24"/>
              </w:rPr>
            </w:pPr>
            <w:r w:rsidRPr="004513DA">
              <w:rPr>
                <w:rFonts w:ascii="Garamond" w:eastAsia="Calibri" w:hAnsi="Garamond" w:cs="Arial"/>
                <w:sz w:val="24"/>
                <w:szCs w:val="24"/>
              </w:rPr>
              <w:t>Rischio basso</w:t>
            </w:r>
          </w:p>
        </w:tc>
        <w:tc>
          <w:tcPr>
            <w:tcW w:w="2386" w:type="dxa"/>
            <w:tcBorders>
              <w:top w:val="single" w:sz="4" w:space="0" w:color="auto"/>
              <w:left w:val="single" w:sz="4" w:space="0" w:color="auto"/>
              <w:right w:val="single" w:sz="4" w:space="0" w:color="auto"/>
            </w:tcBorders>
            <w:vAlign w:val="center"/>
          </w:tcPr>
          <w:p w14:paraId="354332D5" w14:textId="77777777" w:rsidR="004C6A3B" w:rsidRPr="004513DA" w:rsidRDefault="004C6A3B" w:rsidP="00310A8E">
            <w:pPr>
              <w:rPr>
                <w:rFonts w:ascii="Garamond" w:eastAsia="Calibri" w:hAnsi="Garamond" w:cs="Arial"/>
                <w:sz w:val="24"/>
                <w:szCs w:val="24"/>
              </w:rPr>
            </w:pPr>
            <w:r w:rsidRPr="004513DA">
              <w:rPr>
                <w:rFonts w:ascii="Garamond" w:eastAsia="Calibri" w:hAnsi="Garamond" w:cs="Arial"/>
                <w:sz w:val="24"/>
                <w:szCs w:val="24"/>
              </w:rPr>
              <w:t>Applicazione corretta delle procedure contabili informatizzate e acquisizione del verbale del Collegio</w:t>
            </w:r>
          </w:p>
          <w:p w14:paraId="0618D78C" w14:textId="6E01F895" w:rsidR="00683956" w:rsidRPr="004513DA" w:rsidRDefault="004C6A3B" w:rsidP="00310A8E">
            <w:pPr>
              <w:rPr>
                <w:rFonts w:ascii="Garamond" w:eastAsia="Calibri" w:hAnsi="Garamond" w:cs="Arial"/>
                <w:sz w:val="24"/>
                <w:szCs w:val="24"/>
              </w:rPr>
            </w:pPr>
            <w:r w:rsidRPr="004513DA">
              <w:rPr>
                <w:rFonts w:ascii="Garamond" w:eastAsia="Calibri" w:hAnsi="Garamond" w:cs="Arial"/>
                <w:sz w:val="24"/>
                <w:szCs w:val="24"/>
              </w:rPr>
              <w:t>dei Revisori dei conti</w:t>
            </w:r>
          </w:p>
        </w:tc>
        <w:tc>
          <w:tcPr>
            <w:tcW w:w="1547" w:type="dxa"/>
            <w:tcBorders>
              <w:top w:val="single" w:sz="4" w:space="0" w:color="auto"/>
              <w:left w:val="single" w:sz="4" w:space="0" w:color="auto"/>
              <w:right w:val="single" w:sz="4" w:space="0" w:color="auto"/>
            </w:tcBorders>
            <w:vAlign w:val="center"/>
          </w:tcPr>
          <w:p w14:paraId="0211D4A7" w14:textId="6BC18CC5" w:rsidR="00683956" w:rsidRPr="004513DA" w:rsidRDefault="00C65AA2" w:rsidP="00310A8E">
            <w:pPr>
              <w:jc w:val="center"/>
              <w:rPr>
                <w:rFonts w:ascii="Garamond" w:eastAsia="Calibri" w:hAnsi="Garamond" w:cs="Arial"/>
                <w:sz w:val="24"/>
                <w:szCs w:val="24"/>
              </w:rPr>
            </w:pPr>
            <w:r w:rsidRPr="004513DA">
              <w:rPr>
                <w:rFonts w:ascii="Garamond" w:eastAsia="Calibri" w:hAnsi="Garamond" w:cs="Arial"/>
                <w:sz w:val="24"/>
                <w:szCs w:val="24"/>
              </w:rPr>
              <w:t>adottata</w:t>
            </w:r>
          </w:p>
        </w:tc>
      </w:tr>
      <w:tr w:rsidR="00941B59" w:rsidRPr="004513DA" w14:paraId="624016B0" w14:textId="77777777" w:rsidTr="00D24102">
        <w:trPr>
          <w:trHeight w:val="1971"/>
        </w:trPr>
        <w:tc>
          <w:tcPr>
            <w:tcW w:w="1011" w:type="dxa"/>
            <w:vMerge w:val="restart"/>
            <w:tcBorders>
              <w:left w:val="single" w:sz="4" w:space="0" w:color="auto"/>
              <w:right w:val="single" w:sz="4" w:space="0" w:color="auto"/>
            </w:tcBorders>
            <w:vAlign w:val="center"/>
          </w:tcPr>
          <w:p w14:paraId="1BE1792D" w14:textId="272C84A1" w:rsidR="00941B59" w:rsidRPr="004513DA" w:rsidRDefault="00941B59" w:rsidP="00310A8E">
            <w:pPr>
              <w:jc w:val="center"/>
              <w:rPr>
                <w:rFonts w:ascii="Garamond" w:eastAsia="Calibri" w:hAnsi="Garamond" w:cs="Arial"/>
                <w:sz w:val="24"/>
                <w:szCs w:val="24"/>
              </w:rPr>
            </w:pPr>
            <w:r w:rsidRPr="004513DA">
              <w:rPr>
                <w:rFonts w:ascii="Garamond" w:eastAsia="Calibri" w:hAnsi="Garamond" w:cs="Arial"/>
                <w:sz w:val="24"/>
                <w:szCs w:val="24"/>
              </w:rPr>
              <w:lastRenderedPageBreak/>
              <w:t>USC</w:t>
            </w:r>
            <w:r w:rsidR="002836A5" w:rsidRPr="004513DA">
              <w:rPr>
                <w:rFonts w:ascii="Garamond" w:eastAsia="Calibri" w:hAnsi="Garamond" w:cs="Arial"/>
                <w:sz w:val="24"/>
                <w:szCs w:val="24"/>
              </w:rPr>
              <w:t>3</w:t>
            </w:r>
          </w:p>
        </w:tc>
        <w:tc>
          <w:tcPr>
            <w:tcW w:w="1252" w:type="dxa"/>
            <w:vMerge w:val="restart"/>
            <w:tcBorders>
              <w:top w:val="single" w:sz="4" w:space="0" w:color="auto"/>
              <w:left w:val="single" w:sz="4" w:space="0" w:color="auto"/>
              <w:right w:val="single" w:sz="4" w:space="0" w:color="auto"/>
            </w:tcBorders>
            <w:vAlign w:val="center"/>
          </w:tcPr>
          <w:p w14:paraId="33F27FC7" w14:textId="3C48A77B" w:rsidR="00941B59" w:rsidRPr="004513DA" w:rsidRDefault="008A27F1" w:rsidP="00D24102">
            <w:pPr>
              <w:spacing w:line="276" w:lineRule="auto"/>
              <w:rPr>
                <w:rFonts w:ascii="Garamond" w:eastAsia="Calibri" w:hAnsi="Garamond" w:cs="Arial"/>
                <w:sz w:val="24"/>
                <w:szCs w:val="24"/>
              </w:rPr>
            </w:pPr>
            <w:r w:rsidRPr="004513DA">
              <w:rPr>
                <w:rFonts w:ascii="Garamond" w:eastAsia="Calibri" w:hAnsi="Garamond" w:cs="Arial"/>
                <w:sz w:val="24"/>
                <w:szCs w:val="24"/>
              </w:rPr>
              <w:t>Trattamento economico del personale in servizio</w:t>
            </w:r>
          </w:p>
        </w:tc>
        <w:tc>
          <w:tcPr>
            <w:tcW w:w="2506" w:type="dxa"/>
            <w:tcBorders>
              <w:top w:val="single" w:sz="4" w:space="0" w:color="auto"/>
              <w:left w:val="single" w:sz="4" w:space="0" w:color="auto"/>
              <w:bottom w:val="single" w:sz="4" w:space="0" w:color="auto"/>
              <w:right w:val="single" w:sz="4" w:space="0" w:color="auto"/>
            </w:tcBorders>
            <w:vAlign w:val="center"/>
          </w:tcPr>
          <w:p w14:paraId="791CB341" w14:textId="617C1805" w:rsidR="00941B59" w:rsidRPr="004513DA" w:rsidRDefault="00827D4E" w:rsidP="00310A8E">
            <w:pPr>
              <w:spacing w:after="200" w:line="276" w:lineRule="auto"/>
              <w:rPr>
                <w:rFonts w:ascii="Garamond" w:eastAsia="Calibri" w:hAnsi="Garamond" w:cs="Arial"/>
                <w:sz w:val="24"/>
                <w:szCs w:val="24"/>
              </w:rPr>
            </w:pPr>
            <w:r w:rsidRPr="004513DA">
              <w:rPr>
                <w:rFonts w:ascii="Garamond" w:eastAsia="Calibri" w:hAnsi="Garamond" w:cs="Arial"/>
                <w:sz w:val="24"/>
                <w:szCs w:val="24"/>
              </w:rPr>
              <w:t>Trattamento economico fondamentale ed accessorio, compresa la gestione degli oneri previdenziali e fiscali, del personale a tempo indeterminato tramite la piattaforma NOIPA</w:t>
            </w:r>
          </w:p>
        </w:tc>
        <w:tc>
          <w:tcPr>
            <w:tcW w:w="926" w:type="dxa"/>
            <w:tcBorders>
              <w:top w:val="single" w:sz="4" w:space="0" w:color="auto"/>
              <w:left w:val="single" w:sz="4" w:space="0" w:color="auto"/>
              <w:bottom w:val="single" w:sz="4" w:space="0" w:color="auto"/>
              <w:right w:val="single" w:sz="4" w:space="0" w:color="auto"/>
            </w:tcBorders>
            <w:vAlign w:val="center"/>
          </w:tcPr>
          <w:p w14:paraId="5D15CD22" w14:textId="728CE923" w:rsidR="00941B59" w:rsidRPr="004513DA" w:rsidRDefault="00827D4E" w:rsidP="00310A8E">
            <w:pPr>
              <w:rPr>
                <w:rFonts w:ascii="Garamond" w:eastAsia="Calibri" w:hAnsi="Garamond" w:cs="Arial"/>
                <w:sz w:val="24"/>
                <w:szCs w:val="24"/>
              </w:rPr>
            </w:pPr>
            <w:r w:rsidRPr="004513DA">
              <w:rPr>
                <w:rFonts w:ascii="Garamond" w:eastAsia="Calibri" w:hAnsi="Garamond" w:cs="Arial"/>
                <w:sz w:val="24"/>
                <w:szCs w:val="24"/>
              </w:rPr>
              <w:t>Rischio basso</w:t>
            </w:r>
          </w:p>
        </w:tc>
        <w:tc>
          <w:tcPr>
            <w:tcW w:w="2386" w:type="dxa"/>
            <w:tcBorders>
              <w:top w:val="single" w:sz="4" w:space="0" w:color="auto"/>
              <w:left w:val="single" w:sz="4" w:space="0" w:color="auto"/>
              <w:bottom w:val="single" w:sz="4" w:space="0" w:color="auto"/>
              <w:right w:val="single" w:sz="4" w:space="0" w:color="auto"/>
            </w:tcBorders>
            <w:vAlign w:val="center"/>
          </w:tcPr>
          <w:p w14:paraId="3BB70B94" w14:textId="7EF99E97" w:rsidR="00941B59" w:rsidRPr="004513DA" w:rsidRDefault="001670CD" w:rsidP="00310A8E">
            <w:pPr>
              <w:rPr>
                <w:rFonts w:ascii="Garamond" w:eastAsia="Calibri" w:hAnsi="Garamond" w:cs="Arial"/>
                <w:sz w:val="24"/>
                <w:szCs w:val="24"/>
              </w:rPr>
            </w:pPr>
            <w:r w:rsidRPr="004513DA">
              <w:rPr>
                <w:rFonts w:ascii="Garamond" w:eastAsia="Calibri" w:hAnsi="Garamond" w:cs="Arial"/>
                <w:sz w:val="24"/>
                <w:szCs w:val="24"/>
              </w:rPr>
              <w:t>Controllo incrociato semestrale sulle voci e sugli importi rispetto ai documenti giustificativi</w:t>
            </w:r>
          </w:p>
        </w:tc>
        <w:tc>
          <w:tcPr>
            <w:tcW w:w="1547" w:type="dxa"/>
            <w:tcBorders>
              <w:top w:val="single" w:sz="4" w:space="0" w:color="auto"/>
              <w:left w:val="single" w:sz="4" w:space="0" w:color="auto"/>
              <w:bottom w:val="single" w:sz="4" w:space="0" w:color="auto"/>
              <w:right w:val="single" w:sz="4" w:space="0" w:color="auto"/>
            </w:tcBorders>
            <w:vAlign w:val="center"/>
          </w:tcPr>
          <w:p w14:paraId="7843F5F8" w14:textId="3FF12CD5" w:rsidR="00941B59" w:rsidRPr="004513DA" w:rsidRDefault="001670CD" w:rsidP="00310A8E">
            <w:pPr>
              <w:jc w:val="center"/>
              <w:rPr>
                <w:rFonts w:ascii="Garamond" w:eastAsia="Calibri" w:hAnsi="Garamond" w:cs="Arial"/>
                <w:sz w:val="24"/>
                <w:szCs w:val="24"/>
              </w:rPr>
            </w:pPr>
            <w:r w:rsidRPr="004513DA">
              <w:rPr>
                <w:rFonts w:ascii="Garamond" w:eastAsia="Calibri" w:hAnsi="Garamond" w:cs="Arial"/>
                <w:sz w:val="24"/>
                <w:szCs w:val="24"/>
              </w:rPr>
              <w:t>adottata</w:t>
            </w:r>
          </w:p>
        </w:tc>
      </w:tr>
      <w:tr w:rsidR="00941B59" w:rsidRPr="004513DA" w14:paraId="66B96CC9" w14:textId="77777777" w:rsidTr="00310A8E">
        <w:trPr>
          <w:trHeight w:val="1297"/>
        </w:trPr>
        <w:tc>
          <w:tcPr>
            <w:tcW w:w="1011" w:type="dxa"/>
            <w:vMerge/>
            <w:tcBorders>
              <w:left w:val="single" w:sz="4" w:space="0" w:color="auto"/>
              <w:right w:val="single" w:sz="4" w:space="0" w:color="auto"/>
            </w:tcBorders>
            <w:vAlign w:val="center"/>
          </w:tcPr>
          <w:p w14:paraId="4FB357D8" w14:textId="77777777" w:rsidR="00941B59" w:rsidRPr="004513DA" w:rsidRDefault="00941B59" w:rsidP="00D24F87">
            <w:pPr>
              <w:jc w:val="both"/>
              <w:rPr>
                <w:rFonts w:ascii="Garamond" w:eastAsia="Calibri" w:hAnsi="Garamond" w:cs="Arial"/>
                <w:b/>
                <w:bCs/>
                <w:sz w:val="24"/>
                <w:szCs w:val="24"/>
              </w:rPr>
            </w:pPr>
          </w:p>
        </w:tc>
        <w:tc>
          <w:tcPr>
            <w:tcW w:w="1252" w:type="dxa"/>
            <w:vMerge/>
            <w:tcBorders>
              <w:left w:val="single" w:sz="4" w:space="0" w:color="auto"/>
              <w:right w:val="single" w:sz="4" w:space="0" w:color="auto"/>
            </w:tcBorders>
            <w:vAlign w:val="center"/>
          </w:tcPr>
          <w:p w14:paraId="2E3DE79D" w14:textId="77777777" w:rsidR="00941B59" w:rsidRPr="004513DA" w:rsidRDefault="00941B59" w:rsidP="00D24F87">
            <w:pPr>
              <w:spacing w:line="276" w:lineRule="auto"/>
              <w:jc w:val="both"/>
              <w:rPr>
                <w:rFonts w:ascii="Garamond" w:eastAsia="Calibri" w:hAnsi="Garamond" w:cs="Arial"/>
                <w:sz w:val="24"/>
                <w:szCs w:val="24"/>
              </w:rPr>
            </w:pPr>
          </w:p>
        </w:tc>
        <w:tc>
          <w:tcPr>
            <w:tcW w:w="2506" w:type="dxa"/>
            <w:tcBorders>
              <w:top w:val="single" w:sz="4" w:space="0" w:color="auto"/>
              <w:left w:val="single" w:sz="4" w:space="0" w:color="auto"/>
              <w:bottom w:val="single" w:sz="4" w:space="0" w:color="auto"/>
              <w:right w:val="single" w:sz="4" w:space="0" w:color="auto"/>
            </w:tcBorders>
            <w:vAlign w:val="center"/>
          </w:tcPr>
          <w:p w14:paraId="17EB4C54" w14:textId="56C4CB8A" w:rsidR="00941B59" w:rsidRPr="004513DA" w:rsidRDefault="001670CD" w:rsidP="00310A8E">
            <w:pPr>
              <w:spacing w:after="200" w:line="276" w:lineRule="auto"/>
              <w:rPr>
                <w:rFonts w:ascii="Garamond" w:eastAsia="Calibri" w:hAnsi="Garamond" w:cs="Arial"/>
                <w:sz w:val="24"/>
                <w:szCs w:val="24"/>
              </w:rPr>
            </w:pPr>
            <w:r w:rsidRPr="004513DA">
              <w:rPr>
                <w:rFonts w:ascii="Garamond" w:eastAsia="Calibri" w:hAnsi="Garamond" w:cs="Arial"/>
                <w:sz w:val="24"/>
                <w:szCs w:val="24"/>
              </w:rPr>
              <w:t>Liquidazioni delle missioni del personale dipendente a carico dell'amministrazione centrale</w:t>
            </w:r>
          </w:p>
        </w:tc>
        <w:tc>
          <w:tcPr>
            <w:tcW w:w="926" w:type="dxa"/>
            <w:tcBorders>
              <w:top w:val="single" w:sz="4" w:space="0" w:color="auto"/>
              <w:left w:val="single" w:sz="4" w:space="0" w:color="auto"/>
              <w:bottom w:val="single" w:sz="4" w:space="0" w:color="auto"/>
              <w:right w:val="single" w:sz="4" w:space="0" w:color="auto"/>
            </w:tcBorders>
            <w:vAlign w:val="center"/>
          </w:tcPr>
          <w:p w14:paraId="38DBE146" w14:textId="0F85E979" w:rsidR="00941B59" w:rsidRPr="004513DA" w:rsidRDefault="001670CD" w:rsidP="00310A8E">
            <w:pPr>
              <w:rPr>
                <w:rFonts w:ascii="Garamond" w:eastAsia="Calibri" w:hAnsi="Garamond" w:cs="Arial"/>
                <w:sz w:val="24"/>
                <w:szCs w:val="24"/>
              </w:rPr>
            </w:pPr>
            <w:r w:rsidRPr="004513DA">
              <w:rPr>
                <w:rFonts w:ascii="Garamond" w:eastAsia="Calibri" w:hAnsi="Garamond" w:cs="Arial"/>
                <w:sz w:val="24"/>
                <w:szCs w:val="24"/>
              </w:rPr>
              <w:t>Rischio basso</w:t>
            </w:r>
          </w:p>
        </w:tc>
        <w:tc>
          <w:tcPr>
            <w:tcW w:w="2386" w:type="dxa"/>
            <w:tcBorders>
              <w:top w:val="single" w:sz="4" w:space="0" w:color="auto"/>
              <w:left w:val="single" w:sz="4" w:space="0" w:color="auto"/>
              <w:bottom w:val="single" w:sz="4" w:space="0" w:color="auto"/>
              <w:right w:val="single" w:sz="4" w:space="0" w:color="auto"/>
            </w:tcBorders>
            <w:vAlign w:val="center"/>
          </w:tcPr>
          <w:p w14:paraId="665DFB17" w14:textId="2F443A64" w:rsidR="00941B59" w:rsidRPr="004513DA" w:rsidRDefault="003C4999" w:rsidP="00310A8E">
            <w:pPr>
              <w:rPr>
                <w:rFonts w:ascii="Garamond" w:eastAsia="Calibri" w:hAnsi="Garamond" w:cs="Arial"/>
                <w:sz w:val="24"/>
                <w:szCs w:val="24"/>
              </w:rPr>
            </w:pPr>
            <w:r w:rsidRPr="004513DA">
              <w:rPr>
                <w:rFonts w:ascii="Garamond" w:eastAsia="Calibri" w:hAnsi="Garamond" w:cs="Arial"/>
                <w:sz w:val="24"/>
                <w:szCs w:val="24"/>
              </w:rPr>
              <w:t>Aggiornamento del Regolamento per le missioni in Italia e all’estero del personale dipendente e dei soggetti assimilati al personale dipendente approvato con decreto del Commissario straordinario n. 90328 del 5.10.2023</w:t>
            </w:r>
          </w:p>
        </w:tc>
        <w:tc>
          <w:tcPr>
            <w:tcW w:w="1547" w:type="dxa"/>
            <w:tcBorders>
              <w:top w:val="single" w:sz="4" w:space="0" w:color="auto"/>
              <w:left w:val="single" w:sz="4" w:space="0" w:color="auto"/>
              <w:bottom w:val="single" w:sz="4" w:space="0" w:color="auto"/>
              <w:right w:val="single" w:sz="4" w:space="0" w:color="auto"/>
            </w:tcBorders>
            <w:vAlign w:val="center"/>
          </w:tcPr>
          <w:p w14:paraId="3E769831" w14:textId="51DCFBFA" w:rsidR="00941B59" w:rsidRPr="004513DA" w:rsidRDefault="00810A2B" w:rsidP="00310A8E">
            <w:pPr>
              <w:jc w:val="center"/>
              <w:rPr>
                <w:rFonts w:ascii="Garamond" w:eastAsia="Calibri" w:hAnsi="Garamond" w:cs="Arial"/>
                <w:sz w:val="24"/>
                <w:szCs w:val="24"/>
              </w:rPr>
            </w:pPr>
            <w:r w:rsidRPr="004513DA">
              <w:rPr>
                <w:rFonts w:ascii="Garamond" w:eastAsia="Calibri" w:hAnsi="Garamond" w:cs="Arial"/>
                <w:sz w:val="24"/>
                <w:szCs w:val="24"/>
              </w:rPr>
              <w:t>adottata</w:t>
            </w:r>
          </w:p>
        </w:tc>
      </w:tr>
      <w:tr w:rsidR="00941B59" w:rsidRPr="004513DA" w14:paraId="0B3F7CCF" w14:textId="77777777" w:rsidTr="00310A8E">
        <w:trPr>
          <w:trHeight w:val="1180"/>
        </w:trPr>
        <w:tc>
          <w:tcPr>
            <w:tcW w:w="1011" w:type="dxa"/>
            <w:vMerge w:val="restart"/>
            <w:tcBorders>
              <w:left w:val="single" w:sz="4" w:space="0" w:color="auto"/>
              <w:right w:val="single" w:sz="4" w:space="0" w:color="auto"/>
            </w:tcBorders>
            <w:vAlign w:val="center"/>
          </w:tcPr>
          <w:p w14:paraId="615DB28D" w14:textId="3EB3DEE9" w:rsidR="00941B59" w:rsidRPr="004513DA" w:rsidRDefault="00941B59" w:rsidP="00310A8E">
            <w:pPr>
              <w:jc w:val="center"/>
              <w:rPr>
                <w:rFonts w:ascii="Garamond" w:eastAsia="Calibri" w:hAnsi="Garamond" w:cs="Arial"/>
                <w:sz w:val="24"/>
                <w:szCs w:val="24"/>
              </w:rPr>
            </w:pPr>
            <w:r w:rsidRPr="004513DA">
              <w:rPr>
                <w:rFonts w:ascii="Garamond" w:eastAsia="Calibri" w:hAnsi="Garamond" w:cs="Arial"/>
                <w:sz w:val="24"/>
                <w:szCs w:val="24"/>
              </w:rPr>
              <w:t>USC</w:t>
            </w:r>
            <w:r w:rsidR="0014675E" w:rsidRPr="004513DA">
              <w:rPr>
                <w:rFonts w:ascii="Garamond" w:eastAsia="Calibri" w:hAnsi="Garamond" w:cs="Arial"/>
                <w:sz w:val="24"/>
                <w:szCs w:val="24"/>
              </w:rPr>
              <w:t>4</w:t>
            </w:r>
          </w:p>
        </w:tc>
        <w:tc>
          <w:tcPr>
            <w:tcW w:w="1252" w:type="dxa"/>
            <w:tcBorders>
              <w:top w:val="single" w:sz="4" w:space="0" w:color="auto"/>
              <w:left w:val="single" w:sz="4" w:space="0" w:color="auto"/>
              <w:bottom w:val="single" w:sz="4" w:space="0" w:color="auto"/>
              <w:right w:val="single" w:sz="4" w:space="0" w:color="auto"/>
            </w:tcBorders>
            <w:vAlign w:val="center"/>
          </w:tcPr>
          <w:p w14:paraId="6297B026" w14:textId="7A73F2AD" w:rsidR="00941B59" w:rsidRPr="004513DA" w:rsidRDefault="008552E8" w:rsidP="00D24102">
            <w:pPr>
              <w:spacing w:after="200" w:line="276" w:lineRule="auto"/>
              <w:rPr>
                <w:rFonts w:ascii="Garamond" w:eastAsia="Calibri" w:hAnsi="Garamond" w:cs="Arial"/>
                <w:sz w:val="24"/>
                <w:szCs w:val="24"/>
              </w:rPr>
            </w:pPr>
            <w:r w:rsidRPr="004513DA">
              <w:rPr>
                <w:rFonts w:ascii="Garamond" w:eastAsia="Calibri" w:hAnsi="Garamond" w:cs="Arial"/>
                <w:sz w:val="24"/>
                <w:szCs w:val="24"/>
              </w:rPr>
              <w:t>Gestione e valorizzazione del patrimonio immobiliare del CREA</w:t>
            </w:r>
          </w:p>
        </w:tc>
        <w:tc>
          <w:tcPr>
            <w:tcW w:w="2506" w:type="dxa"/>
            <w:tcBorders>
              <w:top w:val="single" w:sz="4" w:space="0" w:color="auto"/>
              <w:left w:val="single" w:sz="4" w:space="0" w:color="auto"/>
              <w:bottom w:val="single" w:sz="4" w:space="0" w:color="auto"/>
              <w:right w:val="single" w:sz="4" w:space="0" w:color="auto"/>
            </w:tcBorders>
            <w:vAlign w:val="center"/>
          </w:tcPr>
          <w:p w14:paraId="704D9557" w14:textId="0CF68E32" w:rsidR="00941B59" w:rsidRPr="004513DA" w:rsidRDefault="007E4724" w:rsidP="00310A8E">
            <w:pPr>
              <w:spacing w:after="200" w:line="276" w:lineRule="auto"/>
              <w:jc w:val="center"/>
              <w:rPr>
                <w:rFonts w:ascii="Garamond" w:eastAsia="Calibri" w:hAnsi="Garamond" w:cs="Arial"/>
                <w:sz w:val="24"/>
                <w:szCs w:val="24"/>
              </w:rPr>
            </w:pPr>
            <w:r w:rsidRPr="004513DA">
              <w:rPr>
                <w:rFonts w:ascii="Garamond" w:eastAsia="Calibri" w:hAnsi="Garamond" w:cs="Arial"/>
                <w:sz w:val="24"/>
                <w:szCs w:val="24"/>
              </w:rPr>
              <w:t>Gestione delle procedure di alienazione e di acquisto dei beni immobili dell'Ente</w:t>
            </w:r>
          </w:p>
        </w:tc>
        <w:tc>
          <w:tcPr>
            <w:tcW w:w="926" w:type="dxa"/>
            <w:tcBorders>
              <w:top w:val="single" w:sz="4" w:space="0" w:color="auto"/>
              <w:left w:val="single" w:sz="4" w:space="0" w:color="auto"/>
              <w:bottom w:val="single" w:sz="4" w:space="0" w:color="auto"/>
              <w:right w:val="single" w:sz="4" w:space="0" w:color="auto"/>
            </w:tcBorders>
            <w:vAlign w:val="center"/>
          </w:tcPr>
          <w:p w14:paraId="6B672E41" w14:textId="70E1BBA6" w:rsidR="00941B59" w:rsidRPr="004513DA" w:rsidRDefault="007E4724" w:rsidP="00310A8E">
            <w:pPr>
              <w:jc w:val="center"/>
              <w:rPr>
                <w:rFonts w:ascii="Garamond" w:eastAsia="Calibri" w:hAnsi="Garamond" w:cs="Arial"/>
                <w:sz w:val="24"/>
                <w:szCs w:val="24"/>
              </w:rPr>
            </w:pPr>
            <w:r w:rsidRPr="004513DA">
              <w:rPr>
                <w:rFonts w:ascii="Garamond" w:eastAsia="Calibri" w:hAnsi="Garamond" w:cs="Arial"/>
                <w:sz w:val="24"/>
                <w:szCs w:val="24"/>
              </w:rPr>
              <w:t>Rischio molto alto</w:t>
            </w:r>
          </w:p>
        </w:tc>
        <w:tc>
          <w:tcPr>
            <w:tcW w:w="2386" w:type="dxa"/>
            <w:tcBorders>
              <w:top w:val="single" w:sz="4" w:space="0" w:color="auto"/>
              <w:left w:val="single" w:sz="4" w:space="0" w:color="auto"/>
              <w:bottom w:val="single" w:sz="4" w:space="0" w:color="auto"/>
              <w:right w:val="single" w:sz="4" w:space="0" w:color="auto"/>
            </w:tcBorders>
            <w:vAlign w:val="center"/>
          </w:tcPr>
          <w:p w14:paraId="706652FF" w14:textId="3A0B4B00" w:rsidR="00941B59" w:rsidRPr="004513DA" w:rsidRDefault="007E4724" w:rsidP="00310A8E">
            <w:pPr>
              <w:rPr>
                <w:rFonts w:ascii="Garamond" w:eastAsia="Calibri" w:hAnsi="Garamond" w:cs="Arial"/>
                <w:sz w:val="24"/>
                <w:szCs w:val="24"/>
              </w:rPr>
            </w:pPr>
            <w:r w:rsidRPr="004513DA">
              <w:rPr>
                <w:rFonts w:ascii="Garamond" w:eastAsia="Calibri" w:hAnsi="Garamond" w:cs="Arial"/>
                <w:sz w:val="24"/>
                <w:szCs w:val="24"/>
              </w:rPr>
              <w:t>Supporto su casi specifici riguardo le procedure di alienazione e di acquisto di beni immobili</w:t>
            </w:r>
          </w:p>
        </w:tc>
        <w:tc>
          <w:tcPr>
            <w:tcW w:w="1547" w:type="dxa"/>
            <w:tcBorders>
              <w:top w:val="single" w:sz="4" w:space="0" w:color="auto"/>
              <w:left w:val="single" w:sz="4" w:space="0" w:color="auto"/>
              <w:bottom w:val="single" w:sz="4" w:space="0" w:color="auto"/>
              <w:right w:val="single" w:sz="4" w:space="0" w:color="auto"/>
            </w:tcBorders>
            <w:vAlign w:val="center"/>
          </w:tcPr>
          <w:p w14:paraId="208AE352" w14:textId="093E663E" w:rsidR="00941B59" w:rsidRPr="004513DA" w:rsidRDefault="00E3463E" w:rsidP="00310A8E">
            <w:pPr>
              <w:jc w:val="center"/>
              <w:rPr>
                <w:rFonts w:ascii="Garamond" w:eastAsia="Calibri" w:hAnsi="Garamond" w:cs="Arial"/>
                <w:b/>
                <w:bCs/>
                <w:sz w:val="24"/>
                <w:szCs w:val="24"/>
              </w:rPr>
            </w:pPr>
            <w:r w:rsidRPr="004513DA">
              <w:rPr>
                <w:rFonts w:ascii="Garamond" w:eastAsia="Calibri" w:hAnsi="Garamond" w:cs="Arial"/>
                <w:b/>
                <w:bCs/>
                <w:sz w:val="24"/>
                <w:szCs w:val="24"/>
              </w:rPr>
              <w:t>riprogrammata</w:t>
            </w:r>
          </w:p>
        </w:tc>
      </w:tr>
      <w:tr w:rsidR="00941B59" w:rsidRPr="004513DA" w14:paraId="0C0E9825" w14:textId="77777777" w:rsidTr="00310A8E">
        <w:trPr>
          <w:trHeight w:val="1187"/>
        </w:trPr>
        <w:tc>
          <w:tcPr>
            <w:tcW w:w="1011" w:type="dxa"/>
            <w:vMerge/>
            <w:tcBorders>
              <w:left w:val="single" w:sz="4" w:space="0" w:color="auto"/>
              <w:right w:val="single" w:sz="4" w:space="0" w:color="auto"/>
            </w:tcBorders>
            <w:vAlign w:val="center"/>
          </w:tcPr>
          <w:p w14:paraId="1DA3D7A2" w14:textId="77777777" w:rsidR="00941B59" w:rsidRPr="004513DA" w:rsidRDefault="00941B59" w:rsidP="00D24F87">
            <w:pPr>
              <w:jc w:val="both"/>
              <w:rPr>
                <w:rFonts w:ascii="Garamond" w:eastAsia="Calibri" w:hAnsi="Garamond" w:cs="Arial"/>
                <w:sz w:val="24"/>
                <w:szCs w:val="24"/>
              </w:rPr>
            </w:pPr>
          </w:p>
        </w:tc>
        <w:tc>
          <w:tcPr>
            <w:tcW w:w="1252" w:type="dxa"/>
            <w:tcBorders>
              <w:top w:val="single" w:sz="4" w:space="0" w:color="auto"/>
              <w:left w:val="single" w:sz="4" w:space="0" w:color="auto"/>
              <w:bottom w:val="single" w:sz="4" w:space="0" w:color="auto"/>
              <w:right w:val="single" w:sz="4" w:space="0" w:color="auto"/>
            </w:tcBorders>
            <w:vAlign w:val="center"/>
          </w:tcPr>
          <w:p w14:paraId="319431CD" w14:textId="667B5B9A" w:rsidR="00941B59" w:rsidRPr="004513DA" w:rsidRDefault="00E865A7" w:rsidP="00310A8E">
            <w:pPr>
              <w:spacing w:after="200" w:line="276" w:lineRule="auto"/>
              <w:rPr>
                <w:rFonts w:ascii="Garamond" w:eastAsia="Calibri" w:hAnsi="Garamond" w:cs="Arial"/>
                <w:sz w:val="24"/>
                <w:szCs w:val="24"/>
              </w:rPr>
            </w:pPr>
            <w:r w:rsidRPr="004513DA">
              <w:rPr>
                <w:rFonts w:ascii="Garamond" w:eastAsia="Calibri" w:hAnsi="Garamond" w:cs="Arial"/>
                <w:sz w:val="24"/>
                <w:szCs w:val="24"/>
              </w:rPr>
              <w:t>Gestione beni mobili del CREA</w:t>
            </w:r>
          </w:p>
        </w:tc>
        <w:tc>
          <w:tcPr>
            <w:tcW w:w="2506" w:type="dxa"/>
            <w:tcBorders>
              <w:top w:val="single" w:sz="4" w:space="0" w:color="auto"/>
              <w:left w:val="single" w:sz="4" w:space="0" w:color="auto"/>
              <w:bottom w:val="single" w:sz="4" w:space="0" w:color="auto"/>
              <w:right w:val="single" w:sz="4" w:space="0" w:color="auto"/>
            </w:tcBorders>
            <w:vAlign w:val="center"/>
          </w:tcPr>
          <w:p w14:paraId="55097E47" w14:textId="19CFDC99" w:rsidR="00941B59" w:rsidRPr="004513DA" w:rsidRDefault="000C2AEB" w:rsidP="00310A8E">
            <w:pPr>
              <w:spacing w:after="200" w:line="276" w:lineRule="auto"/>
              <w:rPr>
                <w:rFonts w:ascii="Garamond" w:eastAsia="Calibri" w:hAnsi="Garamond" w:cs="Arial"/>
                <w:sz w:val="24"/>
                <w:szCs w:val="24"/>
              </w:rPr>
            </w:pPr>
            <w:r w:rsidRPr="004513DA">
              <w:rPr>
                <w:rFonts w:ascii="Garamond" w:eastAsia="Calibri" w:hAnsi="Garamond" w:cs="Arial"/>
                <w:sz w:val="24"/>
                <w:szCs w:val="24"/>
              </w:rPr>
              <w:t>Gestione dell'inventario dei beni mobili dell'Amministrazione centrale</w:t>
            </w:r>
          </w:p>
        </w:tc>
        <w:tc>
          <w:tcPr>
            <w:tcW w:w="926" w:type="dxa"/>
            <w:tcBorders>
              <w:top w:val="single" w:sz="4" w:space="0" w:color="auto"/>
              <w:left w:val="single" w:sz="4" w:space="0" w:color="auto"/>
              <w:bottom w:val="single" w:sz="4" w:space="0" w:color="auto"/>
              <w:right w:val="single" w:sz="4" w:space="0" w:color="auto"/>
            </w:tcBorders>
            <w:vAlign w:val="center"/>
          </w:tcPr>
          <w:p w14:paraId="683E534A" w14:textId="423503BD" w:rsidR="00941B59" w:rsidRPr="004513DA" w:rsidRDefault="000C2AEB" w:rsidP="00310A8E">
            <w:pPr>
              <w:rPr>
                <w:rFonts w:ascii="Garamond" w:eastAsia="Calibri" w:hAnsi="Garamond" w:cs="Arial"/>
                <w:sz w:val="24"/>
                <w:szCs w:val="24"/>
              </w:rPr>
            </w:pPr>
            <w:r w:rsidRPr="004513DA">
              <w:rPr>
                <w:rFonts w:ascii="Garamond" w:eastAsia="Calibri" w:hAnsi="Garamond" w:cs="Arial"/>
                <w:sz w:val="24"/>
                <w:szCs w:val="24"/>
              </w:rPr>
              <w:t>Rischio basso</w:t>
            </w:r>
          </w:p>
        </w:tc>
        <w:tc>
          <w:tcPr>
            <w:tcW w:w="2386" w:type="dxa"/>
            <w:tcBorders>
              <w:top w:val="single" w:sz="4" w:space="0" w:color="auto"/>
              <w:left w:val="single" w:sz="4" w:space="0" w:color="auto"/>
              <w:bottom w:val="single" w:sz="4" w:space="0" w:color="auto"/>
              <w:right w:val="single" w:sz="4" w:space="0" w:color="auto"/>
            </w:tcBorders>
            <w:vAlign w:val="center"/>
          </w:tcPr>
          <w:p w14:paraId="3A0E347F" w14:textId="688FDE26" w:rsidR="00941B59" w:rsidRPr="004513DA" w:rsidRDefault="000C2AEB" w:rsidP="00310A8E">
            <w:pPr>
              <w:rPr>
                <w:rFonts w:ascii="Garamond" w:eastAsia="Calibri" w:hAnsi="Garamond" w:cs="Arial"/>
                <w:sz w:val="24"/>
                <w:szCs w:val="24"/>
              </w:rPr>
            </w:pPr>
            <w:r w:rsidRPr="004513DA">
              <w:rPr>
                <w:rFonts w:ascii="Garamond" w:eastAsia="Calibri" w:hAnsi="Garamond" w:cs="Arial"/>
                <w:sz w:val="24"/>
                <w:szCs w:val="24"/>
              </w:rPr>
              <w:t>Applicazione della normativa vigente, del Regolamento dei beni mobili dell’Ente e della procedura informatizzata</w:t>
            </w:r>
          </w:p>
        </w:tc>
        <w:tc>
          <w:tcPr>
            <w:tcW w:w="1547" w:type="dxa"/>
            <w:tcBorders>
              <w:top w:val="single" w:sz="4" w:space="0" w:color="auto"/>
              <w:left w:val="single" w:sz="4" w:space="0" w:color="auto"/>
              <w:bottom w:val="single" w:sz="4" w:space="0" w:color="auto"/>
              <w:right w:val="single" w:sz="4" w:space="0" w:color="auto"/>
            </w:tcBorders>
            <w:vAlign w:val="center"/>
          </w:tcPr>
          <w:p w14:paraId="4E00B438" w14:textId="285D71DA" w:rsidR="00941B59" w:rsidRPr="004513DA" w:rsidRDefault="008562AA" w:rsidP="00D24102">
            <w:pPr>
              <w:jc w:val="center"/>
              <w:rPr>
                <w:rFonts w:ascii="Garamond" w:eastAsia="Calibri" w:hAnsi="Garamond" w:cs="Arial"/>
                <w:sz w:val="24"/>
                <w:szCs w:val="24"/>
              </w:rPr>
            </w:pPr>
            <w:r w:rsidRPr="004513DA">
              <w:rPr>
                <w:rFonts w:ascii="Garamond" w:eastAsia="Calibri" w:hAnsi="Garamond" w:cs="Arial"/>
                <w:sz w:val="24"/>
                <w:szCs w:val="24"/>
              </w:rPr>
              <w:t>adottata</w:t>
            </w:r>
          </w:p>
        </w:tc>
      </w:tr>
      <w:tr w:rsidR="00941B59" w:rsidRPr="004513DA" w14:paraId="02BACD0D" w14:textId="77777777" w:rsidTr="00310A8E">
        <w:trPr>
          <w:trHeight w:val="1297"/>
        </w:trPr>
        <w:tc>
          <w:tcPr>
            <w:tcW w:w="1011" w:type="dxa"/>
            <w:tcBorders>
              <w:left w:val="single" w:sz="4" w:space="0" w:color="auto"/>
              <w:right w:val="single" w:sz="4" w:space="0" w:color="auto"/>
            </w:tcBorders>
            <w:vAlign w:val="center"/>
          </w:tcPr>
          <w:p w14:paraId="6E525C6D" w14:textId="10EE2576" w:rsidR="00941B59" w:rsidRPr="004513DA" w:rsidRDefault="003A744D" w:rsidP="00310A8E">
            <w:pPr>
              <w:jc w:val="center"/>
              <w:rPr>
                <w:rFonts w:ascii="Garamond" w:eastAsia="Calibri" w:hAnsi="Garamond" w:cs="Arial"/>
                <w:sz w:val="24"/>
                <w:szCs w:val="24"/>
              </w:rPr>
            </w:pPr>
            <w:r w:rsidRPr="004513DA">
              <w:rPr>
                <w:rFonts w:ascii="Garamond" w:eastAsia="Calibri" w:hAnsi="Garamond" w:cs="Arial"/>
                <w:sz w:val="24"/>
                <w:szCs w:val="24"/>
              </w:rPr>
              <w:t>USC5</w:t>
            </w:r>
          </w:p>
        </w:tc>
        <w:tc>
          <w:tcPr>
            <w:tcW w:w="1252" w:type="dxa"/>
            <w:tcBorders>
              <w:top w:val="single" w:sz="4" w:space="0" w:color="auto"/>
              <w:left w:val="single" w:sz="4" w:space="0" w:color="auto"/>
              <w:bottom w:val="single" w:sz="4" w:space="0" w:color="auto"/>
              <w:right w:val="single" w:sz="4" w:space="0" w:color="auto"/>
            </w:tcBorders>
            <w:vAlign w:val="center"/>
          </w:tcPr>
          <w:p w14:paraId="68B0A3C0" w14:textId="2B789226" w:rsidR="00941B59" w:rsidRPr="004513DA" w:rsidRDefault="003749EF" w:rsidP="00310A8E">
            <w:pPr>
              <w:spacing w:after="200" w:line="276" w:lineRule="auto"/>
              <w:rPr>
                <w:rFonts w:ascii="Garamond" w:eastAsia="Calibri" w:hAnsi="Garamond" w:cs="Arial"/>
                <w:sz w:val="24"/>
                <w:szCs w:val="24"/>
              </w:rPr>
            </w:pPr>
            <w:r w:rsidRPr="004513DA">
              <w:rPr>
                <w:rFonts w:ascii="Garamond" w:eastAsia="Calibri" w:hAnsi="Garamond" w:cs="Arial"/>
                <w:sz w:val="24"/>
                <w:szCs w:val="24"/>
              </w:rPr>
              <w:t>Acquisto di lavori, servizi e forniture</w:t>
            </w:r>
          </w:p>
        </w:tc>
        <w:tc>
          <w:tcPr>
            <w:tcW w:w="2506" w:type="dxa"/>
            <w:tcBorders>
              <w:top w:val="single" w:sz="4" w:space="0" w:color="auto"/>
              <w:left w:val="single" w:sz="4" w:space="0" w:color="auto"/>
              <w:bottom w:val="single" w:sz="4" w:space="0" w:color="auto"/>
              <w:right w:val="single" w:sz="4" w:space="0" w:color="auto"/>
            </w:tcBorders>
            <w:vAlign w:val="center"/>
          </w:tcPr>
          <w:p w14:paraId="5B86FB27" w14:textId="11560B77" w:rsidR="00941B59" w:rsidRPr="004513DA" w:rsidRDefault="003749EF" w:rsidP="00310A8E">
            <w:pPr>
              <w:spacing w:after="200" w:line="276" w:lineRule="auto"/>
              <w:rPr>
                <w:rFonts w:ascii="Garamond" w:eastAsia="Calibri" w:hAnsi="Garamond" w:cs="Arial"/>
                <w:sz w:val="24"/>
                <w:szCs w:val="24"/>
              </w:rPr>
            </w:pPr>
            <w:r w:rsidRPr="004513DA">
              <w:rPr>
                <w:rFonts w:ascii="Garamond" w:eastAsia="Calibri" w:hAnsi="Garamond" w:cs="Arial"/>
                <w:sz w:val="24"/>
                <w:szCs w:val="24"/>
              </w:rPr>
              <w:t>Affidamento servizi nei casi di somma urgenza</w:t>
            </w:r>
          </w:p>
        </w:tc>
        <w:tc>
          <w:tcPr>
            <w:tcW w:w="926" w:type="dxa"/>
            <w:tcBorders>
              <w:top w:val="single" w:sz="4" w:space="0" w:color="auto"/>
              <w:left w:val="single" w:sz="4" w:space="0" w:color="auto"/>
              <w:bottom w:val="single" w:sz="4" w:space="0" w:color="auto"/>
              <w:right w:val="single" w:sz="4" w:space="0" w:color="auto"/>
            </w:tcBorders>
            <w:vAlign w:val="center"/>
          </w:tcPr>
          <w:p w14:paraId="645DF16A" w14:textId="5CAB15DC" w:rsidR="00941B59" w:rsidRPr="004513DA" w:rsidRDefault="007F4294" w:rsidP="00310A8E">
            <w:pPr>
              <w:rPr>
                <w:rFonts w:ascii="Garamond" w:eastAsia="Calibri" w:hAnsi="Garamond" w:cs="Arial"/>
                <w:sz w:val="24"/>
                <w:szCs w:val="24"/>
              </w:rPr>
            </w:pPr>
            <w:r w:rsidRPr="004513DA">
              <w:rPr>
                <w:rFonts w:ascii="Garamond" w:eastAsia="Calibri" w:hAnsi="Garamond" w:cs="Arial"/>
                <w:sz w:val="24"/>
                <w:szCs w:val="24"/>
              </w:rPr>
              <w:t>Rischio alto</w:t>
            </w:r>
          </w:p>
        </w:tc>
        <w:tc>
          <w:tcPr>
            <w:tcW w:w="2386" w:type="dxa"/>
            <w:tcBorders>
              <w:top w:val="single" w:sz="4" w:space="0" w:color="auto"/>
              <w:left w:val="single" w:sz="4" w:space="0" w:color="auto"/>
              <w:bottom w:val="single" w:sz="4" w:space="0" w:color="auto"/>
              <w:right w:val="single" w:sz="4" w:space="0" w:color="auto"/>
            </w:tcBorders>
            <w:vAlign w:val="center"/>
          </w:tcPr>
          <w:p w14:paraId="03035F15" w14:textId="7853D67F" w:rsidR="00941B59" w:rsidRPr="004513DA" w:rsidRDefault="007F4294" w:rsidP="00310A8E">
            <w:pPr>
              <w:rPr>
                <w:rFonts w:ascii="Garamond" w:eastAsia="Calibri" w:hAnsi="Garamond" w:cs="Arial"/>
                <w:sz w:val="24"/>
                <w:szCs w:val="24"/>
              </w:rPr>
            </w:pPr>
            <w:r w:rsidRPr="004513DA">
              <w:rPr>
                <w:rFonts w:ascii="Garamond" w:eastAsia="Calibri" w:hAnsi="Garamond" w:cs="Arial"/>
                <w:sz w:val="24"/>
                <w:szCs w:val="24"/>
              </w:rPr>
              <w:t>Controlli a campione sulla sussistenza dei presupposti di cui all’art. 140 del Dlgs 36/2023</w:t>
            </w:r>
          </w:p>
        </w:tc>
        <w:tc>
          <w:tcPr>
            <w:tcW w:w="1547" w:type="dxa"/>
            <w:tcBorders>
              <w:top w:val="single" w:sz="4" w:space="0" w:color="auto"/>
              <w:left w:val="single" w:sz="4" w:space="0" w:color="auto"/>
              <w:bottom w:val="single" w:sz="4" w:space="0" w:color="auto"/>
              <w:right w:val="single" w:sz="4" w:space="0" w:color="auto"/>
            </w:tcBorders>
            <w:vAlign w:val="center"/>
          </w:tcPr>
          <w:p w14:paraId="33634780" w14:textId="4D9981B2" w:rsidR="00941B59" w:rsidRPr="004513DA" w:rsidRDefault="00D24102" w:rsidP="00310A8E">
            <w:pPr>
              <w:rPr>
                <w:rFonts w:ascii="Garamond" w:eastAsia="Calibri" w:hAnsi="Garamond" w:cs="Arial"/>
                <w:b/>
                <w:bCs/>
                <w:sz w:val="24"/>
                <w:szCs w:val="24"/>
              </w:rPr>
            </w:pPr>
            <w:r w:rsidRPr="004513DA">
              <w:rPr>
                <w:rFonts w:ascii="Garamond" w:eastAsia="Calibri" w:hAnsi="Garamond" w:cs="Arial"/>
                <w:b/>
                <w:bCs/>
                <w:sz w:val="24"/>
                <w:szCs w:val="24"/>
              </w:rPr>
              <w:t>r</w:t>
            </w:r>
            <w:r w:rsidR="00676B7E" w:rsidRPr="004513DA">
              <w:rPr>
                <w:rFonts w:ascii="Garamond" w:eastAsia="Calibri" w:hAnsi="Garamond" w:cs="Arial"/>
                <w:b/>
                <w:bCs/>
                <w:sz w:val="24"/>
                <w:szCs w:val="24"/>
              </w:rPr>
              <w:t>iprogr</w:t>
            </w:r>
            <w:r w:rsidR="001C13A0" w:rsidRPr="004513DA">
              <w:rPr>
                <w:rFonts w:ascii="Garamond" w:eastAsia="Calibri" w:hAnsi="Garamond" w:cs="Arial"/>
                <w:b/>
                <w:bCs/>
                <w:sz w:val="24"/>
                <w:szCs w:val="24"/>
              </w:rPr>
              <w:t>ammata</w:t>
            </w:r>
          </w:p>
        </w:tc>
      </w:tr>
      <w:tr w:rsidR="00E91EFA" w:rsidRPr="004513DA" w14:paraId="5B991184" w14:textId="77777777" w:rsidTr="00D24102">
        <w:trPr>
          <w:trHeight w:val="836"/>
        </w:trPr>
        <w:tc>
          <w:tcPr>
            <w:tcW w:w="1011" w:type="dxa"/>
            <w:vMerge w:val="restart"/>
            <w:tcBorders>
              <w:left w:val="single" w:sz="4" w:space="0" w:color="auto"/>
              <w:right w:val="single" w:sz="4" w:space="0" w:color="auto"/>
            </w:tcBorders>
          </w:tcPr>
          <w:p w14:paraId="1DCCC85C" w14:textId="77777777" w:rsidR="0078267D" w:rsidRPr="004513DA" w:rsidRDefault="0078267D" w:rsidP="00D24F87">
            <w:pPr>
              <w:jc w:val="both"/>
              <w:rPr>
                <w:rFonts w:ascii="Garamond" w:eastAsia="Calibri" w:hAnsi="Garamond" w:cs="Arial"/>
                <w:sz w:val="24"/>
                <w:szCs w:val="24"/>
              </w:rPr>
            </w:pPr>
          </w:p>
          <w:p w14:paraId="322E2021" w14:textId="77777777" w:rsidR="0078267D" w:rsidRPr="004513DA" w:rsidRDefault="0078267D" w:rsidP="00D24F87">
            <w:pPr>
              <w:jc w:val="both"/>
              <w:rPr>
                <w:rFonts w:ascii="Garamond" w:eastAsia="Calibri" w:hAnsi="Garamond" w:cs="Arial"/>
                <w:sz w:val="24"/>
                <w:szCs w:val="24"/>
              </w:rPr>
            </w:pPr>
          </w:p>
          <w:p w14:paraId="679121B6" w14:textId="77777777" w:rsidR="0078267D" w:rsidRPr="004513DA" w:rsidRDefault="0078267D" w:rsidP="00D24F87">
            <w:pPr>
              <w:jc w:val="both"/>
              <w:rPr>
                <w:rFonts w:ascii="Garamond" w:eastAsia="Calibri" w:hAnsi="Garamond" w:cs="Arial"/>
                <w:sz w:val="24"/>
                <w:szCs w:val="24"/>
              </w:rPr>
            </w:pPr>
          </w:p>
          <w:p w14:paraId="084ED3E3" w14:textId="77777777" w:rsidR="0078267D" w:rsidRPr="004513DA" w:rsidRDefault="0078267D" w:rsidP="00D24F87">
            <w:pPr>
              <w:jc w:val="both"/>
              <w:rPr>
                <w:rFonts w:ascii="Garamond" w:eastAsia="Calibri" w:hAnsi="Garamond" w:cs="Arial"/>
                <w:sz w:val="24"/>
                <w:szCs w:val="24"/>
              </w:rPr>
            </w:pPr>
          </w:p>
          <w:p w14:paraId="0FF829F9" w14:textId="77777777" w:rsidR="0078267D" w:rsidRPr="004513DA" w:rsidRDefault="0078267D" w:rsidP="00D24F87">
            <w:pPr>
              <w:jc w:val="both"/>
              <w:rPr>
                <w:rFonts w:ascii="Garamond" w:eastAsia="Calibri" w:hAnsi="Garamond" w:cs="Arial"/>
                <w:sz w:val="24"/>
                <w:szCs w:val="24"/>
              </w:rPr>
            </w:pPr>
          </w:p>
          <w:p w14:paraId="439C9FF3" w14:textId="77777777" w:rsidR="0078267D" w:rsidRPr="004513DA" w:rsidRDefault="0078267D" w:rsidP="00D24F87">
            <w:pPr>
              <w:jc w:val="both"/>
              <w:rPr>
                <w:rFonts w:ascii="Garamond" w:eastAsia="Calibri" w:hAnsi="Garamond" w:cs="Arial"/>
                <w:sz w:val="24"/>
                <w:szCs w:val="24"/>
              </w:rPr>
            </w:pPr>
          </w:p>
          <w:p w14:paraId="226292FB" w14:textId="77777777" w:rsidR="0078267D" w:rsidRPr="004513DA" w:rsidRDefault="0078267D" w:rsidP="00D24F87">
            <w:pPr>
              <w:jc w:val="both"/>
              <w:rPr>
                <w:rFonts w:ascii="Garamond" w:eastAsia="Calibri" w:hAnsi="Garamond" w:cs="Arial"/>
                <w:sz w:val="24"/>
                <w:szCs w:val="24"/>
              </w:rPr>
            </w:pPr>
          </w:p>
          <w:p w14:paraId="6D019181" w14:textId="77777777" w:rsidR="0078267D" w:rsidRPr="004513DA" w:rsidRDefault="0078267D" w:rsidP="00D24F87">
            <w:pPr>
              <w:jc w:val="both"/>
              <w:rPr>
                <w:rFonts w:ascii="Garamond" w:eastAsia="Calibri" w:hAnsi="Garamond" w:cs="Arial"/>
                <w:sz w:val="24"/>
                <w:szCs w:val="24"/>
              </w:rPr>
            </w:pPr>
          </w:p>
          <w:p w14:paraId="449D05EB" w14:textId="77777777" w:rsidR="00310A8E" w:rsidRPr="004513DA" w:rsidRDefault="00310A8E" w:rsidP="00D24F87">
            <w:pPr>
              <w:jc w:val="both"/>
              <w:rPr>
                <w:rFonts w:ascii="Garamond" w:eastAsia="Calibri" w:hAnsi="Garamond" w:cs="Arial"/>
                <w:sz w:val="24"/>
                <w:szCs w:val="24"/>
              </w:rPr>
            </w:pPr>
          </w:p>
          <w:p w14:paraId="253BE118" w14:textId="77777777" w:rsidR="00E91EFA" w:rsidRPr="004513DA" w:rsidRDefault="00E91EFA" w:rsidP="00D24F87">
            <w:pPr>
              <w:jc w:val="both"/>
              <w:rPr>
                <w:rFonts w:ascii="Garamond" w:eastAsia="Calibri" w:hAnsi="Garamond" w:cs="Arial"/>
                <w:sz w:val="24"/>
                <w:szCs w:val="24"/>
              </w:rPr>
            </w:pPr>
            <w:r w:rsidRPr="004513DA">
              <w:rPr>
                <w:rFonts w:ascii="Garamond" w:eastAsia="Calibri" w:hAnsi="Garamond" w:cs="Arial"/>
                <w:sz w:val="24"/>
                <w:szCs w:val="24"/>
              </w:rPr>
              <w:t>UFFICI AC</w:t>
            </w:r>
          </w:p>
          <w:p w14:paraId="2C572A1A" w14:textId="77777777" w:rsidR="00310A8E" w:rsidRPr="004513DA" w:rsidRDefault="00310A8E" w:rsidP="00D24F87">
            <w:pPr>
              <w:jc w:val="both"/>
              <w:rPr>
                <w:rFonts w:ascii="Garamond" w:eastAsia="Calibri" w:hAnsi="Garamond" w:cs="Arial"/>
                <w:sz w:val="24"/>
                <w:szCs w:val="24"/>
              </w:rPr>
            </w:pPr>
          </w:p>
          <w:p w14:paraId="6D637A67" w14:textId="77777777" w:rsidR="00310A8E" w:rsidRPr="004513DA" w:rsidRDefault="00310A8E" w:rsidP="00D24F87">
            <w:pPr>
              <w:jc w:val="both"/>
              <w:rPr>
                <w:rFonts w:ascii="Garamond" w:eastAsia="Calibri" w:hAnsi="Garamond" w:cs="Arial"/>
                <w:sz w:val="24"/>
                <w:szCs w:val="24"/>
              </w:rPr>
            </w:pPr>
          </w:p>
          <w:p w14:paraId="0733E1AF" w14:textId="77777777" w:rsidR="00310A8E" w:rsidRPr="004513DA" w:rsidRDefault="00310A8E" w:rsidP="00D24F87">
            <w:pPr>
              <w:jc w:val="both"/>
              <w:rPr>
                <w:rFonts w:ascii="Garamond" w:eastAsia="Calibri" w:hAnsi="Garamond" w:cs="Arial"/>
                <w:sz w:val="24"/>
                <w:szCs w:val="24"/>
              </w:rPr>
            </w:pPr>
          </w:p>
          <w:p w14:paraId="10EC40E9" w14:textId="77777777" w:rsidR="00310A8E" w:rsidRPr="004513DA" w:rsidRDefault="00310A8E" w:rsidP="00D24F87">
            <w:pPr>
              <w:jc w:val="both"/>
              <w:rPr>
                <w:rFonts w:ascii="Garamond" w:eastAsia="Calibri" w:hAnsi="Garamond" w:cs="Arial"/>
                <w:sz w:val="24"/>
                <w:szCs w:val="24"/>
              </w:rPr>
            </w:pPr>
          </w:p>
          <w:p w14:paraId="01A15C29" w14:textId="77777777" w:rsidR="00310A8E" w:rsidRPr="004513DA" w:rsidRDefault="00310A8E" w:rsidP="00D24F87">
            <w:pPr>
              <w:jc w:val="both"/>
              <w:rPr>
                <w:rFonts w:ascii="Garamond" w:eastAsia="Calibri" w:hAnsi="Garamond" w:cs="Arial"/>
                <w:sz w:val="24"/>
                <w:szCs w:val="24"/>
              </w:rPr>
            </w:pPr>
          </w:p>
          <w:p w14:paraId="4B9AAB6C" w14:textId="77777777" w:rsidR="00310A8E" w:rsidRPr="004513DA" w:rsidRDefault="00310A8E" w:rsidP="00D24F87">
            <w:pPr>
              <w:jc w:val="both"/>
              <w:rPr>
                <w:rFonts w:ascii="Garamond" w:eastAsia="Calibri" w:hAnsi="Garamond" w:cs="Arial"/>
                <w:sz w:val="24"/>
                <w:szCs w:val="24"/>
              </w:rPr>
            </w:pPr>
          </w:p>
          <w:p w14:paraId="67D32954" w14:textId="77777777" w:rsidR="00310A8E" w:rsidRPr="004513DA" w:rsidRDefault="00310A8E" w:rsidP="00D24F87">
            <w:pPr>
              <w:jc w:val="both"/>
              <w:rPr>
                <w:rFonts w:ascii="Garamond" w:eastAsia="Calibri" w:hAnsi="Garamond" w:cs="Arial"/>
                <w:b/>
                <w:bCs/>
                <w:sz w:val="24"/>
                <w:szCs w:val="24"/>
              </w:rPr>
            </w:pPr>
          </w:p>
          <w:p w14:paraId="3B7B508F" w14:textId="77777777" w:rsidR="00310A8E" w:rsidRPr="004513DA" w:rsidRDefault="00310A8E" w:rsidP="00D24F87">
            <w:pPr>
              <w:jc w:val="both"/>
              <w:rPr>
                <w:rFonts w:ascii="Garamond" w:eastAsia="Calibri" w:hAnsi="Garamond" w:cs="Arial"/>
                <w:sz w:val="24"/>
                <w:szCs w:val="24"/>
              </w:rPr>
            </w:pPr>
          </w:p>
          <w:p w14:paraId="7944867C" w14:textId="77777777" w:rsidR="00310A8E" w:rsidRPr="004513DA" w:rsidRDefault="00310A8E" w:rsidP="00D24F87">
            <w:pPr>
              <w:jc w:val="both"/>
              <w:rPr>
                <w:rFonts w:ascii="Garamond" w:eastAsia="Calibri" w:hAnsi="Garamond" w:cs="Arial"/>
                <w:sz w:val="24"/>
                <w:szCs w:val="24"/>
              </w:rPr>
            </w:pPr>
          </w:p>
          <w:p w14:paraId="6D2F4295" w14:textId="77777777" w:rsidR="00310A8E" w:rsidRPr="004513DA" w:rsidRDefault="00310A8E" w:rsidP="00D24F87">
            <w:pPr>
              <w:jc w:val="both"/>
              <w:rPr>
                <w:rFonts w:ascii="Garamond" w:eastAsia="Calibri" w:hAnsi="Garamond" w:cs="Arial"/>
                <w:sz w:val="24"/>
                <w:szCs w:val="24"/>
              </w:rPr>
            </w:pPr>
          </w:p>
          <w:p w14:paraId="0D50B1D7" w14:textId="77777777" w:rsidR="00310A8E" w:rsidRPr="004513DA" w:rsidRDefault="00310A8E" w:rsidP="00D24F87">
            <w:pPr>
              <w:jc w:val="both"/>
              <w:rPr>
                <w:rFonts w:ascii="Garamond" w:eastAsia="Calibri" w:hAnsi="Garamond" w:cs="Arial"/>
                <w:sz w:val="24"/>
                <w:szCs w:val="24"/>
              </w:rPr>
            </w:pPr>
          </w:p>
          <w:p w14:paraId="3A75A847" w14:textId="77777777" w:rsidR="00310A8E" w:rsidRPr="004513DA" w:rsidRDefault="00310A8E" w:rsidP="00D24F87">
            <w:pPr>
              <w:jc w:val="both"/>
              <w:rPr>
                <w:rFonts w:ascii="Garamond" w:eastAsia="Calibri" w:hAnsi="Garamond" w:cs="Arial"/>
                <w:sz w:val="24"/>
                <w:szCs w:val="24"/>
              </w:rPr>
            </w:pPr>
          </w:p>
          <w:p w14:paraId="08DE3DF6" w14:textId="77777777" w:rsidR="00310A8E" w:rsidRPr="004513DA" w:rsidRDefault="00310A8E" w:rsidP="00D24F87">
            <w:pPr>
              <w:jc w:val="both"/>
              <w:rPr>
                <w:rFonts w:ascii="Garamond" w:eastAsia="Calibri" w:hAnsi="Garamond" w:cs="Arial"/>
                <w:sz w:val="24"/>
                <w:szCs w:val="24"/>
              </w:rPr>
            </w:pPr>
          </w:p>
          <w:p w14:paraId="63DBE7BA" w14:textId="77777777" w:rsidR="00310A8E" w:rsidRPr="004513DA" w:rsidRDefault="00310A8E" w:rsidP="00D24F87">
            <w:pPr>
              <w:jc w:val="both"/>
              <w:rPr>
                <w:rFonts w:ascii="Garamond" w:eastAsia="Calibri" w:hAnsi="Garamond" w:cs="Arial"/>
                <w:sz w:val="24"/>
                <w:szCs w:val="24"/>
              </w:rPr>
            </w:pPr>
          </w:p>
          <w:p w14:paraId="1F5A58C4" w14:textId="77777777" w:rsidR="00310A8E" w:rsidRPr="004513DA" w:rsidRDefault="00310A8E" w:rsidP="00D24F87">
            <w:pPr>
              <w:jc w:val="both"/>
              <w:rPr>
                <w:rFonts w:ascii="Garamond" w:eastAsia="Calibri" w:hAnsi="Garamond" w:cs="Arial"/>
                <w:sz w:val="24"/>
                <w:szCs w:val="24"/>
              </w:rPr>
            </w:pPr>
          </w:p>
          <w:p w14:paraId="33B467D8" w14:textId="77777777" w:rsidR="00310A8E" w:rsidRPr="004513DA" w:rsidRDefault="00310A8E" w:rsidP="00D24F87">
            <w:pPr>
              <w:jc w:val="both"/>
              <w:rPr>
                <w:rFonts w:ascii="Garamond" w:eastAsia="Calibri" w:hAnsi="Garamond" w:cs="Arial"/>
                <w:sz w:val="24"/>
                <w:szCs w:val="24"/>
              </w:rPr>
            </w:pPr>
          </w:p>
          <w:p w14:paraId="53B691A9" w14:textId="77777777" w:rsidR="00310A8E" w:rsidRPr="004513DA" w:rsidRDefault="00310A8E" w:rsidP="00D24F87">
            <w:pPr>
              <w:jc w:val="both"/>
              <w:rPr>
                <w:rFonts w:ascii="Garamond" w:eastAsia="Calibri" w:hAnsi="Garamond" w:cs="Arial"/>
                <w:sz w:val="24"/>
                <w:szCs w:val="24"/>
              </w:rPr>
            </w:pPr>
          </w:p>
          <w:p w14:paraId="587C59A3" w14:textId="77777777" w:rsidR="00310A8E" w:rsidRPr="004513DA" w:rsidRDefault="00310A8E" w:rsidP="00D24F87">
            <w:pPr>
              <w:jc w:val="both"/>
              <w:rPr>
                <w:rFonts w:ascii="Garamond" w:eastAsia="Calibri" w:hAnsi="Garamond" w:cs="Arial"/>
                <w:sz w:val="24"/>
                <w:szCs w:val="24"/>
              </w:rPr>
            </w:pPr>
          </w:p>
          <w:p w14:paraId="25965B18" w14:textId="264E714E" w:rsidR="00310A8E" w:rsidRPr="004513DA" w:rsidRDefault="00310A8E" w:rsidP="00D24F87">
            <w:pPr>
              <w:jc w:val="both"/>
              <w:rPr>
                <w:rFonts w:ascii="Garamond" w:eastAsia="Calibri" w:hAnsi="Garamond" w:cs="Arial"/>
                <w:b/>
                <w:bCs/>
                <w:sz w:val="24"/>
                <w:szCs w:val="24"/>
              </w:rPr>
            </w:pPr>
            <w:r w:rsidRPr="004513DA">
              <w:rPr>
                <w:rFonts w:ascii="Garamond" w:eastAsia="Calibri" w:hAnsi="Garamond" w:cs="Arial"/>
                <w:sz w:val="24"/>
                <w:szCs w:val="24"/>
              </w:rPr>
              <w:t>UFFICI AC</w:t>
            </w:r>
          </w:p>
        </w:tc>
        <w:tc>
          <w:tcPr>
            <w:tcW w:w="1252" w:type="dxa"/>
            <w:tcBorders>
              <w:top w:val="single" w:sz="4" w:space="0" w:color="auto"/>
              <w:left w:val="single" w:sz="4" w:space="0" w:color="auto"/>
              <w:bottom w:val="single" w:sz="4" w:space="0" w:color="auto"/>
              <w:right w:val="single" w:sz="4" w:space="0" w:color="auto"/>
            </w:tcBorders>
            <w:vAlign w:val="center"/>
          </w:tcPr>
          <w:p w14:paraId="14315C9F" w14:textId="1E0A04FF" w:rsidR="00E91EFA" w:rsidRPr="004513DA" w:rsidRDefault="00E91EFA" w:rsidP="00D24102">
            <w:pPr>
              <w:spacing w:after="200" w:line="276" w:lineRule="auto"/>
              <w:rPr>
                <w:rFonts w:ascii="Garamond" w:eastAsia="Calibri" w:hAnsi="Garamond" w:cs="Arial"/>
                <w:sz w:val="24"/>
                <w:szCs w:val="24"/>
              </w:rPr>
            </w:pPr>
            <w:r w:rsidRPr="004513DA">
              <w:rPr>
                <w:rFonts w:ascii="Garamond" w:eastAsia="Calibri" w:hAnsi="Garamond" w:cs="Arial"/>
                <w:sz w:val="24"/>
                <w:szCs w:val="24"/>
              </w:rPr>
              <w:lastRenderedPageBreak/>
              <w:t xml:space="preserve">Progettazione e individuazione delle </w:t>
            </w:r>
            <w:r w:rsidRPr="004513DA">
              <w:rPr>
                <w:rFonts w:ascii="Garamond" w:eastAsia="Calibri" w:hAnsi="Garamond" w:cs="Arial"/>
                <w:sz w:val="24"/>
                <w:szCs w:val="24"/>
              </w:rPr>
              <w:lastRenderedPageBreak/>
              <w:t>procedure di acquisizione della stazione appaltante</w:t>
            </w:r>
          </w:p>
        </w:tc>
        <w:tc>
          <w:tcPr>
            <w:tcW w:w="2506" w:type="dxa"/>
            <w:tcBorders>
              <w:top w:val="single" w:sz="4" w:space="0" w:color="auto"/>
              <w:left w:val="single" w:sz="4" w:space="0" w:color="auto"/>
              <w:bottom w:val="single" w:sz="4" w:space="0" w:color="auto"/>
              <w:right w:val="single" w:sz="4" w:space="0" w:color="auto"/>
            </w:tcBorders>
            <w:vAlign w:val="center"/>
          </w:tcPr>
          <w:p w14:paraId="44BAFC61" w14:textId="5D685B62" w:rsidR="00E91EFA" w:rsidRPr="004513DA" w:rsidRDefault="00E91EFA" w:rsidP="00D24102">
            <w:pPr>
              <w:spacing w:after="200" w:line="276" w:lineRule="auto"/>
              <w:rPr>
                <w:rFonts w:ascii="Garamond" w:eastAsia="Calibri" w:hAnsi="Garamond" w:cs="Arial"/>
                <w:sz w:val="24"/>
                <w:szCs w:val="24"/>
              </w:rPr>
            </w:pPr>
            <w:r w:rsidRPr="004513DA">
              <w:rPr>
                <w:rFonts w:ascii="Garamond" w:eastAsia="Calibri" w:hAnsi="Garamond" w:cs="Arial"/>
                <w:sz w:val="24"/>
                <w:szCs w:val="24"/>
              </w:rPr>
              <w:lastRenderedPageBreak/>
              <w:t xml:space="preserve">Progettazione e individuazione delle procedure di acquisizione in </w:t>
            </w:r>
            <w:r w:rsidRPr="004513DA">
              <w:rPr>
                <w:rFonts w:ascii="Garamond" w:eastAsia="Calibri" w:hAnsi="Garamond" w:cs="Arial"/>
                <w:sz w:val="24"/>
                <w:szCs w:val="24"/>
              </w:rPr>
              <w:lastRenderedPageBreak/>
              <w:t>conformità alla normativa vigente</w:t>
            </w:r>
          </w:p>
        </w:tc>
        <w:tc>
          <w:tcPr>
            <w:tcW w:w="926" w:type="dxa"/>
            <w:tcBorders>
              <w:top w:val="single" w:sz="4" w:space="0" w:color="auto"/>
              <w:left w:val="single" w:sz="4" w:space="0" w:color="auto"/>
              <w:bottom w:val="single" w:sz="4" w:space="0" w:color="auto"/>
              <w:right w:val="single" w:sz="4" w:space="0" w:color="auto"/>
            </w:tcBorders>
            <w:vAlign w:val="center"/>
          </w:tcPr>
          <w:p w14:paraId="5470ED0E" w14:textId="686B8907" w:rsidR="00E91EFA" w:rsidRPr="004513DA" w:rsidRDefault="00E91EFA" w:rsidP="00D24102">
            <w:pPr>
              <w:rPr>
                <w:rFonts w:ascii="Garamond" w:eastAsia="Calibri" w:hAnsi="Garamond" w:cs="Arial"/>
                <w:sz w:val="24"/>
                <w:szCs w:val="24"/>
              </w:rPr>
            </w:pPr>
            <w:r w:rsidRPr="004513DA">
              <w:rPr>
                <w:rFonts w:ascii="Garamond" w:eastAsia="Calibri" w:hAnsi="Garamond" w:cs="Arial"/>
                <w:sz w:val="24"/>
                <w:szCs w:val="24"/>
              </w:rPr>
              <w:lastRenderedPageBreak/>
              <w:t>Molto alto</w:t>
            </w:r>
          </w:p>
        </w:tc>
        <w:tc>
          <w:tcPr>
            <w:tcW w:w="2386" w:type="dxa"/>
            <w:tcBorders>
              <w:top w:val="single" w:sz="4" w:space="0" w:color="auto"/>
              <w:left w:val="single" w:sz="4" w:space="0" w:color="auto"/>
              <w:bottom w:val="single" w:sz="4" w:space="0" w:color="auto"/>
              <w:right w:val="single" w:sz="4" w:space="0" w:color="auto"/>
            </w:tcBorders>
            <w:vAlign w:val="center"/>
          </w:tcPr>
          <w:p w14:paraId="0B43076F" w14:textId="25B9E149" w:rsidR="00E91EFA" w:rsidRPr="004513DA" w:rsidRDefault="00E91EFA" w:rsidP="00D24102">
            <w:pPr>
              <w:rPr>
                <w:rFonts w:ascii="Garamond" w:eastAsia="Calibri" w:hAnsi="Garamond" w:cs="Arial"/>
                <w:sz w:val="24"/>
                <w:szCs w:val="24"/>
              </w:rPr>
            </w:pPr>
            <w:r w:rsidRPr="004513DA">
              <w:rPr>
                <w:rFonts w:ascii="Garamond" w:eastAsia="Calibri" w:hAnsi="Garamond" w:cs="Arial"/>
                <w:sz w:val="24"/>
                <w:szCs w:val="24"/>
              </w:rPr>
              <w:t xml:space="preserve">Applicazione della normativa generale in materia di contratti pubblici </w:t>
            </w:r>
            <w:r w:rsidRPr="004513DA">
              <w:rPr>
                <w:rFonts w:ascii="Garamond" w:eastAsia="Calibri" w:hAnsi="Garamond" w:cs="Arial"/>
                <w:sz w:val="24"/>
                <w:szCs w:val="24"/>
              </w:rPr>
              <w:lastRenderedPageBreak/>
              <w:t>di affidamento di s. f. l.</w:t>
            </w:r>
          </w:p>
        </w:tc>
        <w:tc>
          <w:tcPr>
            <w:tcW w:w="1547" w:type="dxa"/>
            <w:tcBorders>
              <w:top w:val="single" w:sz="4" w:space="0" w:color="auto"/>
              <w:left w:val="single" w:sz="4" w:space="0" w:color="auto"/>
              <w:bottom w:val="single" w:sz="4" w:space="0" w:color="auto"/>
              <w:right w:val="single" w:sz="4" w:space="0" w:color="auto"/>
            </w:tcBorders>
            <w:vAlign w:val="center"/>
          </w:tcPr>
          <w:p w14:paraId="2580DC88" w14:textId="1EEABDC9" w:rsidR="00E91EFA" w:rsidRPr="004513DA" w:rsidRDefault="00E91EFA" w:rsidP="00D24102">
            <w:pPr>
              <w:rPr>
                <w:rFonts w:ascii="Garamond" w:eastAsia="Calibri" w:hAnsi="Garamond" w:cs="Arial"/>
                <w:sz w:val="24"/>
                <w:szCs w:val="24"/>
              </w:rPr>
            </w:pPr>
            <w:r w:rsidRPr="004513DA">
              <w:rPr>
                <w:rFonts w:ascii="Garamond" w:eastAsia="Calibri" w:hAnsi="Garamond" w:cs="Arial"/>
                <w:sz w:val="24"/>
                <w:szCs w:val="24"/>
              </w:rPr>
              <w:lastRenderedPageBreak/>
              <w:t>adottata</w:t>
            </w:r>
          </w:p>
        </w:tc>
      </w:tr>
      <w:tr w:rsidR="00E91EFA" w:rsidRPr="004513DA" w14:paraId="7D237515" w14:textId="77777777" w:rsidTr="00D24102">
        <w:trPr>
          <w:trHeight w:val="1297"/>
        </w:trPr>
        <w:tc>
          <w:tcPr>
            <w:tcW w:w="1011" w:type="dxa"/>
            <w:vMerge/>
            <w:tcBorders>
              <w:left w:val="single" w:sz="4" w:space="0" w:color="auto"/>
              <w:right w:val="single" w:sz="4" w:space="0" w:color="auto"/>
            </w:tcBorders>
          </w:tcPr>
          <w:p w14:paraId="6EE3C227" w14:textId="77777777" w:rsidR="00E91EFA" w:rsidRPr="004513DA" w:rsidRDefault="00E91EFA" w:rsidP="00D24F87">
            <w:pPr>
              <w:jc w:val="both"/>
              <w:rPr>
                <w:rFonts w:ascii="Garamond" w:eastAsia="Calibri" w:hAnsi="Garamond" w:cs="Arial"/>
                <w:b/>
                <w:bCs/>
                <w:sz w:val="24"/>
                <w:szCs w:val="24"/>
              </w:rPr>
            </w:pPr>
          </w:p>
        </w:tc>
        <w:tc>
          <w:tcPr>
            <w:tcW w:w="1252" w:type="dxa"/>
            <w:vMerge w:val="restart"/>
            <w:tcBorders>
              <w:top w:val="single" w:sz="4" w:space="0" w:color="auto"/>
              <w:left w:val="single" w:sz="4" w:space="0" w:color="auto"/>
              <w:right w:val="single" w:sz="4" w:space="0" w:color="auto"/>
            </w:tcBorders>
          </w:tcPr>
          <w:p w14:paraId="5B69EFDD" w14:textId="77777777" w:rsidR="00E91EFA" w:rsidRPr="004513DA" w:rsidRDefault="00E91EFA" w:rsidP="00D24F87">
            <w:pPr>
              <w:spacing w:after="200" w:line="276" w:lineRule="auto"/>
              <w:rPr>
                <w:rFonts w:ascii="Garamond" w:eastAsia="Calibri" w:hAnsi="Garamond" w:cs="Arial"/>
                <w:sz w:val="24"/>
                <w:szCs w:val="24"/>
              </w:rPr>
            </w:pPr>
          </w:p>
          <w:p w14:paraId="49C9186B" w14:textId="77777777" w:rsidR="00E91EFA" w:rsidRPr="004513DA" w:rsidRDefault="00E91EFA" w:rsidP="00D24F87">
            <w:pPr>
              <w:spacing w:after="200" w:line="276" w:lineRule="auto"/>
              <w:rPr>
                <w:rFonts w:ascii="Garamond" w:eastAsia="Calibri" w:hAnsi="Garamond" w:cs="Arial"/>
                <w:sz w:val="24"/>
                <w:szCs w:val="24"/>
              </w:rPr>
            </w:pPr>
            <w:r w:rsidRPr="004513DA">
              <w:rPr>
                <w:rFonts w:ascii="Garamond" w:eastAsia="Calibri" w:hAnsi="Garamond" w:cs="Arial"/>
                <w:sz w:val="24"/>
                <w:szCs w:val="24"/>
              </w:rPr>
              <w:t>Acquisto di lavori, servizi e forniture</w:t>
            </w:r>
          </w:p>
          <w:p w14:paraId="09640599" w14:textId="77777777" w:rsidR="00D24102" w:rsidRPr="004513DA" w:rsidRDefault="00D24102" w:rsidP="00D24F87">
            <w:pPr>
              <w:spacing w:after="200" w:line="276" w:lineRule="auto"/>
              <w:rPr>
                <w:rFonts w:ascii="Garamond" w:eastAsia="Calibri" w:hAnsi="Garamond" w:cs="Arial"/>
                <w:sz w:val="24"/>
                <w:szCs w:val="24"/>
              </w:rPr>
            </w:pPr>
          </w:p>
          <w:p w14:paraId="339B1590" w14:textId="77777777" w:rsidR="00D24102" w:rsidRPr="004513DA" w:rsidRDefault="00D24102" w:rsidP="00D24F87">
            <w:pPr>
              <w:spacing w:after="200" w:line="276" w:lineRule="auto"/>
              <w:rPr>
                <w:rFonts w:ascii="Garamond" w:eastAsia="Calibri" w:hAnsi="Garamond" w:cs="Arial"/>
                <w:sz w:val="24"/>
                <w:szCs w:val="24"/>
              </w:rPr>
            </w:pPr>
          </w:p>
          <w:p w14:paraId="6424E8CF" w14:textId="77777777" w:rsidR="0060425E" w:rsidRDefault="0060425E" w:rsidP="00D24F87">
            <w:pPr>
              <w:spacing w:after="200" w:line="276" w:lineRule="auto"/>
              <w:rPr>
                <w:rFonts w:ascii="Garamond" w:eastAsia="Calibri" w:hAnsi="Garamond" w:cs="Arial"/>
                <w:sz w:val="24"/>
                <w:szCs w:val="24"/>
              </w:rPr>
            </w:pPr>
          </w:p>
          <w:p w14:paraId="4ED903CE" w14:textId="77777777" w:rsidR="0060425E" w:rsidRDefault="0060425E" w:rsidP="00D24F87">
            <w:pPr>
              <w:spacing w:after="200" w:line="276" w:lineRule="auto"/>
              <w:rPr>
                <w:rFonts w:ascii="Garamond" w:eastAsia="Calibri" w:hAnsi="Garamond" w:cs="Arial"/>
                <w:sz w:val="24"/>
                <w:szCs w:val="24"/>
              </w:rPr>
            </w:pPr>
          </w:p>
          <w:p w14:paraId="5496CA26" w14:textId="77777777" w:rsidR="0060425E" w:rsidRDefault="0060425E" w:rsidP="00D24F87">
            <w:pPr>
              <w:spacing w:after="200" w:line="276" w:lineRule="auto"/>
              <w:rPr>
                <w:rFonts w:ascii="Garamond" w:eastAsia="Calibri" w:hAnsi="Garamond" w:cs="Arial"/>
                <w:sz w:val="24"/>
                <w:szCs w:val="24"/>
              </w:rPr>
            </w:pPr>
          </w:p>
          <w:p w14:paraId="24472D69" w14:textId="77777777" w:rsidR="0060425E" w:rsidRDefault="0060425E" w:rsidP="00D24F87">
            <w:pPr>
              <w:spacing w:after="200" w:line="276" w:lineRule="auto"/>
              <w:rPr>
                <w:rFonts w:ascii="Garamond" w:eastAsia="Calibri" w:hAnsi="Garamond" w:cs="Arial"/>
                <w:sz w:val="24"/>
                <w:szCs w:val="24"/>
              </w:rPr>
            </w:pPr>
          </w:p>
          <w:p w14:paraId="49BD7A09" w14:textId="77777777" w:rsidR="0060425E" w:rsidRDefault="0060425E" w:rsidP="00D24F87">
            <w:pPr>
              <w:spacing w:after="200" w:line="276" w:lineRule="auto"/>
              <w:rPr>
                <w:rFonts w:ascii="Garamond" w:eastAsia="Calibri" w:hAnsi="Garamond" w:cs="Arial"/>
                <w:sz w:val="24"/>
                <w:szCs w:val="24"/>
              </w:rPr>
            </w:pPr>
          </w:p>
          <w:p w14:paraId="58EA5D1F" w14:textId="77777777" w:rsidR="0060425E" w:rsidRDefault="0060425E" w:rsidP="00D24F87">
            <w:pPr>
              <w:spacing w:after="200" w:line="276" w:lineRule="auto"/>
              <w:rPr>
                <w:rFonts w:ascii="Garamond" w:eastAsia="Calibri" w:hAnsi="Garamond" w:cs="Arial"/>
                <w:sz w:val="24"/>
                <w:szCs w:val="24"/>
              </w:rPr>
            </w:pPr>
          </w:p>
          <w:p w14:paraId="329C5691" w14:textId="7632D378" w:rsidR="00D24102" w:rsidRPr="004513DA" w:rsidRDefault="0060425E" w:rsidP="00D24F87">
            <w:pPr>
              <w:spacing w:after="200" w:line="276" w:lineRule="auto"/>
              <w:rPr>
                <w:rFonts w:ascii="Garamond" w:eastAsia="Calibri" w:hAnsi="Garamond" w:cs="Arial"/>
                <w:sz w:val="24"/>
                <w:szCs w:val="24"/>
              </w:rPr>
            </w:pPr>
            <w:r>
              <w:rPr>
                <w:rFonts w:ascii="Garamond" w:eastAsia="Calibri" w:hAnsi="Garamond" w:cs="Arial"/>
                <w:sz w:val="24"/>
                <w:szCs w:val="24"/>
              </w:rPr>
              <w:t xml:space="preserve"> </w:t>
            </w:r>
            <w:r w:rsidR="00D24102" w:rsidRPr="004513DA">
              <w:rPr>
                <w:rFonts w:ascii="Garamond" w:eastAsia="Calibri" w:hAnsi="Garamond" w:cs="Arial"/>
                <w:sz w:val="24"/>
                <w:szCs w:val="24"/>
              </w:rPr>
              <w:t>Acquisto di lavori, servizi e forniture</w:t>
            </w:r>
          </w:p>
        </w:tc>
        <w:tc>
          <w:tcPr>
            <w:tcW w:w="2506" w:type="dxa"/>
            <w:tcBorders>
              <w:top w:val="single" w:sz="4" w:space="0" w:color="auto"/>
              <w:left w:val="single" w:sz="4" w:space="0" w:color="auto"/>
              <w:bottom w:val="single" w:sz="4" w:space="0" w:color="auto"/>
              <w:right w:val="single" w:sz="4" w:space="0" w:color="auto"/>
            </w:tcBorders>
            <w:vAlign w:val="center"/>
          </w:tcPr>
          <w:p w14:paraId="32B1D104" w14:textId="0A23DC36" w:rsidR="00E91EFA" w:rsidRPr="004513DA" w:rsidRDefault="00E91EFA" w:rsidP="00D24102">
            <w:pPr>
              <w:spacing w:after="200" w:line="276" w:lineRule="auto"/>
              <w:rPr>
                <w:rFonts w:ascii="Garamond" w:eastAsia="Calibri" w:hAnsi="Garamond" w:cs="Arial"/>
                <w:sz w:val="24"/>
                <w:szCs w:val="24"/>
              </w:rPr>
            </w:pPr>
            <w:r w:rsidRPr="004513DA">
              <w:rPr>
                <w:rFonts w:ascii="Garamond" w:eastAsia="Calibri" w:hAnsi="Garamond" w:cs="Arial"/>
                <w:sz w:val="24"/>
                <w:szCs w:val="24"/>
              </w:rPr>
              <w:t>Affidamento servizi, forniture e lavori di importo fino a € 5.000.</w:t>
            </w:r>
          </w:p>
        </w:tc>
        <w:tc>
          <w:tcPr>
            <w:tcW w:w="926" w:type="dxa"/>
            <w:tcBorders>
              <w:top w:val="single" w:sz="4" w:space="0" w:color="auto"/>
              <w:left w:val="single" w:sz="4" w:space="0" w:color="auto"/>
              <w:bottom w:val="single" w:sz="4" w:space="0" w:color="auto"/>
              <w:right w:val="single" w:sz="4" w:space="0" w:color="auto"/>
            </w:tcBorders>
            <w:vAlign w:val="center"/>
          </w:tcPr>
          <w:p w14:paraId="6AAC6636" w14:textId="006CE137" w:rsidR="00E91EFA" w:rsidRPr="004513DA" w:rsidRDefault="00E91EFA" w:rsidP="00D24102">
            <w:pPr>
              <w:rPr>
                <w:rFonts w:ascii="Garamond" w:eastAsia="Calibri" w:hAnsi="Garamond" w:cs="Arial"/>
                <w:sz w:val="24"/>
                <w:szCs w:val="24"/>
              </w:rPr>
            </w:pPr>
            <w:r w:rsidRPr="004513DA">
              <w:rPr>
                <w:rFonts w:ascii="Garamond" w:eastAsia="Calibri" w:hAnsi="Garamond" w:cs="Arial"/>
                <w:sz w:val="24"/>
                <w:szCs w:val="24"/>
              </w:rPr>
              <w:t>Rischio molto alto</w:t>
            </w:r>
          </w:p>
        </w:tc>
        <w:tc>
          <w:tcPr>
            <w:tcW w:w="2386" w:type="dxa"/>
            <w:tcBorders>
              <w:top w:val="single" w:sz="4" w:space="0" w:color="auto"/>
              <w:left w:val="single" w:sz="4" w:space="0" w:color="auto"/>
              <w:bottom w:val="single" w:sz="4" w:space="0" w:color="auto"/>
              <w:right w:val="single" w:sz="4" w:space="0" w:color="auto"/>
            </w:tcBorders>
            <w:vAlign w:val="center"/>
          </w:tcPr>
          <w:p w14:paraId="72DA04B3" w14:textId="78F539C2" w:rsidR="00E91EFA" w:rsidRPr="004513DA" w:rsidRDefault="00E91EFA" w:rsidP="00D24102">
            <w:pPr>
              <w:rPr>
                <w:rFonts w:ascii="Garamond" w:eastAsia="Calibri" w:hAnsi="Garamond" w:cs="Arial"/>
                <w:sz w:val="24"/>
                <w:szCs w:val="24"/>
              </w:rPr>
            </w:pPr>
            <w:r w:rsidRPr="004513DA">
              <w:rPr>
                <w:rFonts w:ascii="Garamond" w:eastAsia="Calibri" w:hAnsi="Garamond" w:cs="Arial"/>
                <w:sz w:val="24"/>
                <w:szCs w:val="24"/>
              </w:rPr>
              <w:t>Applicazione della normativa generale in materia di contratti pubblici di affidamento di s. f. l. con particolare riferimento alla predisposizione della documentazione necessaria ai fini dell'avvio della procedura e della completezza istruttoria.</w:t>
            </w:r>
          </w:p>
        </w:tc>
        <w:tc>
          <w:tcPr>
            <w:tcW w:w="1547" w:type="dxa"/>
            <w:tcBorders>
              <w:top w:val="single" w:sz="4" w:space="0" w:color="auto"/>
              <w:left w:val="single" w:sz="4" w:space="0" w:color="auto"/>
              <w:bottom w:val="single" w:sz="4" w:space="0" w:color="auto"/>
              <w:right w:val="single" w:sz="4" w:space="0" w:color="auto"/>
            </w:tcBorders>
            <w:vAlign w:val="center"/>
          </w:tcPr>
          <w:p w14:paraId="30F33420" w14:textId="5A33DA3A" w:rsidR="0071449A" w:rsidRPr="004513DA" w:rsidRDefault="00D24102" w:rsidP="00D24102">
            <w:pPr>
              <w:jc w:val="center"/>
              <w:rPr>
                <w:rFonts w:ascii="Garamond" w:eastAsia="Calibri" w:hAnsi="Garamond" w:cs="Arial"/>
                <w:sz w:val="24"/>
                <w:szCs w:val="24"/>
              </w:rPr>
            </w:pPr>
            <w:r w:rsidRPr="004513DA">
              <w:rPr>
                <w:rFonts w:ascii="Garamond" w:eastAsia="Calibri" w:hAnsi="Garamond" w:cs="Arial"/>
                <w:sz w:val="24"/>
                <w:szCs w:val="24"/>
              </w:rPr>
              <w:t>a</w:t>
            </w:r>
            <w:r w:rsidR="0071449A" w:rsidRPr="004513DA">
              <w:rPr>
                <w:rFonts w:ascii="Garamond" w:eastAsia="Calibri" w:hAnsi="Garamond" w:cs="Arial"/>
                <w:sz w:val="24"/>
                <w:szCs w:val="24"/>
              </w:rPr>
              <w:t>dottata</w:t>
            </w:r>
          </w:p>
        </w:tc>
      </w:tr>
      <w:tr w:rsidR="00E91EFA" w:rsidRPr="004513DA" w14:paraId="6D98853D" w14:textId="77777777" w:rsidTr="00D24102">
        <w:trPr>
          <w:trHeight w:val="2229"/>
        </w:trPr>
        <w:tc>
          <w:tcPr>
            <w:tcW w:w="1011" w:type="dxa"/>
            <w:vMerge/>
            <w:tcBorders>
              <w:left w:val="single" w:sz="4" w:space="0" w:color="auto"/>
              <w:right w:val="single" w:sz="4" w:space="0" w:color="auto"/>
            </w:tcBorders>
          </w:tcPr>
          <w:p w14:paraId="1E3441A9" w14:textId="77777777" w:rsidR="00E91EFA" w:rsidRPr="004513DA" w:rsidRDefault="00E91EFA" w:rsidP="00D24F87">
            <w:pPr>
              <w:jc w:val="both"/>
              <w:rPr>
                <w:rFonts w:ascii="Garamond" w:eastAsia="Calibri" w:hAnsi="Garamond" w:cs="Arial"/>
                <w:b/>
                <w:bCs/>
                <w:sz w:val="24"/>
                <w:szCs w:val="24"/>
              </w:rPr>
            </w:pPr>
          </w:p>
        </w:tc>
        <w:tc>
          <w:tcPr>
            <w:tcW w:w="1252" w:type="dxa"/>
            <w:vMerge/>
            <w:tcBorders>
              <w:left w:val="single" w:sz="4" w:space="0" w:color="auto"/>
              <w:right w:val="single" w:sz="4" w:space="0" w:color="auto"/>
            </w:tcBorders>
          </w:tcPr>
          <w:p w14:paraId="55C7B1A8" w14:textId="77777777" w:rsidR="00E91EFA" w:rsidRPr="004513DA" w:rsidRDefault="00E91EFA" w:rsidP="00D24F87">
            <w:pPr>
              <w:spacing w:after="200" w:line="276" w:lineRule="auto"/>
              <w:rPr>
                <w:rFonts w:ascii="Garamond" w:eastAsia="Calibri" w:hAnsi="Garamond" w:cs="Arial"/>
                <w:sz w:val="24"/>
                <w:szCs w:val="24"/>
              </w:rPr>
            </w:pPr>
          </w:p>
        </w:tc>
        <w:tc>
          <w:tcPr>
            <w:tcW w:w="2506" w:type="dxa"/>
            <w:tcBorders>
              <w:top w:val="single" w:sz="4" w:space="0" w:color="auto"/>
              <w:left w:val="single" w:sz="4" w:space="0" w:color="auto"/>
              <w:bottom w:val="single" w:sz="4" w:space="0" w:color="auto"/>
              <w:right w:val="single" w:sz="4" w:space="0" w:color="auto"/>
            </w:tcBorders>
            <w:vAlign w:val="center"/>
          </w:tcPr>
          <w:p w14:paraId="68F75BE3" w14:textId="5D65D921" w:rsidR="00E91EFA" w:rsidRPr="004513DA" w:rsidRDefault="00E91EFA" w:rsidP="00D24102">
            <w:pPr>
              <w:spacing w:after="200" w:line="276" w:lineRule="auto"/>
              <w:rPr>
                <w:rFonts w:ascii="Garamond" w:eastAsia="Calibri" w:hAnsi="Garamond" w:cs="Arial"/>
                <w:sz w:val="24"/>
                <w:szCs w:val="24"/>
              </w:rPr>
            </w:pPr>
            <w:r w:rsidRPr="004513DA">
              <w:rPr>
                <w:rFonts w:ascii="Garamond" w:eastAsia="Calibri" w:hAnsi="Garamond" w:cs="Arial"/>
                <w:sz w:val="24"/>
                <w:szCs w:val="24"/>
              </w:rPr>
              <w:t>Affidamento di servizi e forniture di importo pari o superiore € 5.000,00 e fino a 140.000 euro e di lavori di importo pari o superiore € 5.000,00 e fino a € 150.000,00</w:t>
            </w:r>
          </w:p>
        </w:tc>
        <w:tc>
          <w:tcPr>
            <w:tcW w:w="926" w:type="dxa"/>
            <w:tcBorders>
              <w:top w:val="single" w:sz="4" w:space="0" w:color="auto"/>
              <w:left w:val="single" w:sz="4" w:space="0" w:color="auto"/>
              <w:bottom w:val="single" w:sz="4" w:space="0" w:color="auto"/>
              <w:right w:val="single" w:sz="4" w:space="0" w:color="auto"/>
            </w:tcBorders>
            <w:vAlign w:val="center"/>
          </w:tcPr>
          <w:p w14:paraId="748CF5D8" w14:textId="6D5ADFCE" w:rsidR="00E91EFA" w:rsidRPr="004513DA" w:rsidRDefault="00E91EFA" w:rsidP="00D24102">
            <w:pPr>
              <w:rPr>
                <w:rFonts w:ascii="Garamond" w:eastAsia="Calibri" w:hAnsi="Garamond" w:cs="Arial"/>
                <w:sz w:val="24"/>
                <w:szCs w:val="24"/>
              </w:rPr>
            </w:pPr>
            <w:r w:rsidRPr="004513DA">
              <w:rPr>
                <w:rFonts w:ascii="Garamond" w:eastAsia="Calibri" w:hAnsi="Garamond" w:cs="Arial"/>
                <w:sz w:val="24"/>
                <w:szCs w:val="24"/>
              </w:rPr>
              <w:t>Rischio molto alto</w:t>
            </w:r>
          </w:p>
        </w:tc>
        <w:tc>
          <w:tcPr>
            <w:tcW w:w="2386" w:type="dxa"/>
            <w:tcBorders>
              <w:top w:val="single" w:sz="4" w:space="0" w:color="auto"/>
              <w:left w:val="single" w:sz="4" w:space="0" w:color="auto"/>
              <w:bottom w:val="single" w:sz="4" w:space="0" w:color="auto"/>
              <w:right w:val="single" w:sz="4" w:space="0" w:color="auto"/>
            </w:tcBorders>
            <w:vAlign w:val="center"/>
          </w:tcPr>
          <w:p w14:paraId="5EC04C43" w14:textId="761F0079" w:rsidR="00E91EFA" w:rsidRPr="004513DA" w:rsidRDefault="00E91EFA" w:rsidP="00D24102">
            <w:pPr>
              <w:rPr>
                <w:rFonts w:ascii="Garamond" w:eastAsia="Calibri" w:hAnsi="Garamond" w:cs="Arial"/>
                <w:sz w:val="24"/>
                <w:szCs w:val="24"/>
              </w:rPr>
            </w:pPr>
            <w:r w:rsidRPr="004513DA">
              <w:rPr>
                <w:rFonts w:ascii="Garamond" w:eastAsia="Calibri" w:hAnsi="Garamond" w:cs="Arial"/>
                <w:sz w:val="24"/>
                <w:szCs w:val="24"/>
              </w:rPr>
              <w:t>Applicazione della normativa generale in materia di contratti pubblici di affidamento di s. f. l. con particolare riferimento alla predisposizione della documentazione necessaria ai fini dell'avvio della procedura e della completezza istruttoria.</w:t>
            </w:r>
          </w:p>
        </w:tc>
        <w:tc>
          <w:tcPr>
            <w:tcW w:w="1547" w:type="dxa"/>
            <w:tcBorders>
              <w:top w:val="single" w:sz="4" w:space="0" w:color="auto"/>
              <w:left w:val="single" w:sz="4" w:space="0" w:color="auto"/>
              <w:bottom w:val="single" w:sz="4" w:space="0" w:color="auto"/>
              <w:right w:val="single" w:sz="4" w:space="0" w:color="auto"/>
            </w:tcBorders>
            <w:vAlign w:val="center"/>
          </w:tcPr>
          <w:p w14:paraId="123A9CA8" w14:textId="588DD4C2" w:rsidR="00A658D4" w:rsidRPr="004513DA" w:rsidRDefault="00A658D4" w:rsidP="00D24102">
            <w:pPr>
              <w:jc w:val="center"/>
              <w:rPr>
                <w:rFonts w:ascii="Garamond" w:eastAsia="Calibri" w:hAnsi="Garamond" w:cs="Arial"/>
                <w:sz w:val="24"/>
                <w:szCs w:val="24"/>
              </w:rPr>
            </w:pPr>
            <w:r w:rsidRPr="004513DA">
              <w:rPr>
                <w:rFonts w:ascii="Garamond" w:eastAsia="Calibri" w:hAnsi="Garamond" w:cs="Arial"/>
                <w:sz w:val="24"/>
                <w:szCs w:val="24"/>
              </w:rPr>
              <w:t>adottata</w:t>
            </w:r>
          </w:p>
        </w:tc>
      </w:tr>
      <w:tr w:rsidR="00E91EFA" w:rsidRPr="004513DA" w14:paraId="6771A3A1" w14:textId="77777777" w:rsidTr="00D24102">
        <w:trPr>
          <w:trHeight w:val="1297"/>
        </w:trPr>
        <w:tc>
          <w:tcPr>
            <w:tcW w:w="1011" w:type="dxa"/>
            <w:vMerge/>
            <w:tcBorders>
              <w:left w:val="single" w:sz="4" w:space="0" w:color="auto"/>
              <w:right w:val="single" w:sz="4" w:space="0" w:color="auto"/>
            </w:tcBorders>
          </w:tcPr>
          <w:p w14:paraId="3333F168" w14:textId="77777777" w:rsidR="00E91EFA" w:rsidRPr="004513DA" w:rsidRDefault="00E91EFA" w:rsidP="00D24F87">
            <w:pPr>
              <w:jc w:val="both"/>
              <w:rPr>
                <w:rFonts w:ascii="Garamond" w:eastAsia="Calibri" w:hAnsi="Garamond" w:cs="Arial"/>
                <w:b/>
                <w:bCs/>
                <w:sz w:val="24"/>
                <w:szCs w:val="24"/>
              </w:rPr>
            </w:pPr>
          </w:p>
        </w:tc>
        <w:tc>
          <w:tcPr>
            <w:tcW w:w="1252" w:type="dxa"/>
            <w:vMerge/>
            <w:tcBorders>
              <w:left w:val="single" w:sz="4" w:space="0" w:color="auto"/>
              <w:right w:val="single" w:sz="4" w:space="0" w:color="auto"/>
            </w:tcBorders>
          </w:tcPr>
          <w:p w14:paraId="6AC0FB45" w14:textId="77777777" w:rsidR="00E91EFA" w:rsidRPr="004513DA" w:rsidRDefault="00E91EFA" w:rsidP="00D24F87">
            <w:pPr>
              <w:spacing w:after="200" w:line="276" w:lineRule="auto"/>
              <w:rPr>
                <w:rFonts w:ascii="Garamond" w:eastAsia="Calibri" w:hAnsi="Garamond" w:cs="Arial"/>
                <w:sz w:val="24"/>
                <w:szCs w:val="24"/>
              </w:rPr>
            </w:pPr>
          </w:p>
        </w:tc>
        <w:tc>
          <w:tcPr>
            <w:tcW w:w="2506" w:type="dxa"/>
            <w:tcBorders>
              <w:top w:val="single" w:sz="4" w:space="0" w:color="auto"/>
              <w:left w:val="single" w:sz="4" w:space="0" w:color="auto"/>
              <w:bottom w:val="single" w:sz="4" w:space="0" w:color="auto"/>
              <w:right w:val="single" w:sz="4" w:space="0" w:color="auto"/>
            </w:tcBorders>
            <w:vAlign w:val="center"/>
          </w:tcPr>
          <w:p w14:paraId="087473C4" w14:textId="2747C146" w:rsidR="00E91EFA" w:rsidRPr="004513DA" w:rsidRDefault="00C86E84" w:rsidP="00D24102">
            <w:pPr>
              <w:spacing w:after="200" w:line="276" w:lineRule="auto"/>
              <w:rPr>
                <w:rFonts w:ascii="Garamond" w:eastAsia="Calibri" w:hAnsi="Garamond" w:cs="Arial"/>
                <w:sz w:val="24"/>
                <w:szCs w:val="24"/>
              </w:rPr>
            </w:pPr>
            <w:r w:rsidRPr="004513DA">
              <w:rPr>
                <w:rFonts w:ascii="Garamond" w:eastAsia="Calibri" w:hAnsi="Garamond" w:cs="Arial"/>
                <w:sz w:val="24"/>
                <w:szCs w:val="24"/>
              </w:rPr>
              <w:t>Affidamento di servizi e forniture di importo superiore a € 140.000 euro e oltre la soglia comunitaria e di lavori di importo superiore a € 150.000 euro e fino a 500.000 euro</w:t>
            </w:r>
          </w:p>
        </w:tc>
        <w:tc>
          <w:tcPr>
            <w:tcW w:w="926" w:type="dxa"/>
            <w:tcBorders>
              <w:top w:val="single" w:sz="4" w:space="0" w:color="auto"/>
              <w:left w:val="single" w:sz="4" w:space="0" w:color="auto"/>
              <w:bottom w:val="single" w:sz="4" w:space="0" w:color="auto"/>
              <w:right w:val="single" w:sz="4" w:space="0" w:color="auto"/>
            </w:tcBorders>
            <w:vAlign w:val="center"/>
          </w:tcPr>
          <w:p w14:paraId="7689D6AE" w14:textId="3F6B0855" w:rsidR="00E91EFA" w:rsidRPr="004513DA" w:rsidRDefault="00C86E84" w:rsidP="00D24102">
            <w:pPr>
              <w:rPr>
                <w:rFonts w:ascii="Garamond" w:eastAsia="Calibri" w:hAnsi="Garamond" w:cs="Arial"/>
                <w:sz w:val="24"/>
                <w:szCs w:val="24"/>
              </w:rPr>
            </w:pPr>
            <w:r w:rsidRPr="004513DA">
              <w:rPr>
                <w:rFonts w:ascii="Garamond" w:eastAsia="Calibri" w:hAnsi="Garamond" w:cs="Arial"/>
                <w:sz w:val="24"/>
                <w:szCs w:val="24"/>
              </w:rPr>
              <w:t>Rischio alto</w:t>
            </w:r>
          </w:p>
        </w:tc>
        <w:tc>
          <w:tcPr>
            <w:tcW w:w="2386" w:type="dxa"/>
            <w:tcBorders>
              <w:top w:val="single" w:sz="4" w:space="0" w:color="auto"/>
              <w:left w:val="single" w:sz="4" w:space="0" w:color="auto"/>
              <w:bottom w:val="single" w:sz="4" w:space="0" w:color="auto"/>
              <w:right w:val="single" w:sz="4" w:space="0" w:color="auto"/>
            </w:tcBorders>
            <w:vAlign w:val="center"/>
          </w:tcPr>
          <w:p w14:paraId="20FDBF0F" w14:textId="1E622B4E" w:rsidR="00E91EFA" w:rsidRPr="004513DA" w:rsidRDefault="00FA6774" w:rsidP="00D24102">
            <w:pPr>
              <w:rPr>
                <w:rFonts w:ascii="Garamond" w:eastAsia="Calibri" w:hAnsi="Garamond" w:cs="Arial"/>
                <w:sz w:val="24"/>
                <w:szCs w:val="24"/>
              </w:rPr>
            </w:pPr>
            <w:r w:rsidRPr="004513DA">
              <w:rPr>
                <w:rFonts w:ascii="Garamond" w:eastAsia="Calibri" w:hAnsi="Garamond" w:cs="Arial"/>
                <w:sz w:val="24"/>
                <w:szCs w:val="24"/>
              </w:rPr>
              <w:t xml:space="preserve">Applicazione della normativa generale in materia di contratti pubblici di affidamento di s. f. l. con particolare riferimento alla predisposizione della documentazione </w:t>
            </w:r>
            <w:r w:rsidRPr="004513DA">
              <w:rPr>
                <w:rFonts w:ascii="Garamond" w:eastAsia="Calibri" w:hAnsi="Garamond" w:cs="Arial"/>
                <w:sz w:val="24"/>
                <w:szCs w:val="24"/>
              </w:rPr>
              <w:lastRenderedPageBreak/>
              <w:t>necessaria ai fini dell'avvio della procedura e della completezza istruttoria.</w:t>
            </w:r>
          </w:p>
        </w:tc>
        <w:tc>
          <w:tcPr>
            <w:tcW w:w="1547" w:type="dxa"/>
            <w:tcBorders>
              <w:top w:val="single" w:sz="4" w:space="0" w:color="auto"/>
              <w:left w:val="single" w:sz="4" w:space="0" w:color="auto"/>
              <w:bottom w:val="single" w:sz="4" w:space="0" w:color="auto"/>
              <w:right w:val="single" w:sz="4" w:space="0" w:color="auto"/>
            </w:tcBorders>
            <w:vAlign w:val="center"/>
          </w:tcPr>
          <w:p w14:paraId="41976104" w14:textId="125FBED0" w:rsidR="00CF1DEC" w:rsidRPr="004513DA" w:rsidRDefault="00CF1DEC" w:rsidP="00D24102">
            <w:pPr>
              <w:jc w:val="center"/>
              <w:rPr>
                <w:rFonts w:ascii="Garamond" w:eastAsia="Calibri" w:hAnsi="Garamond" w:cs="Arial"/>
                <w:sz w:val="24"/>
                <w:szCs w:val="24"/>
              </w:rPr>
            </w:pPr>
            <w:r w:rsidRPr="004513DA">
              <w:rPr>
                <w:rFonts w:ascii="Garamond" w:eastAsia="Calibri" w:hAnsi="Garamond" w:cs="Arial"/>
                <w:sz w:val="24"/>
                <w:szCs w:val="24"/>
              </w:rPr>
              <w:lastRenderedPageBreak/>
              <w:t>Adottata</w:t>
            </w:r>
          </w:p>
        </w:tc>
      </w:tr>
    </w:tbl>
    <w:p w14:paraId="7EAD55AD" w14:textId="77777777" w:rsidR="00817AF5" w:rsidRPr="004513DA" w:rsidRDefault="00817AF5" w:rsidP="00941B59">
      <w:pPr>
        <w:autoSpaceDE w:val="0"/>
        <w:autoSpaceDN w:val="0"/>
        <w:adjustRightInd w:val="0"/>
        <w:spacing w:line="360" w:lineRule="auto"/>
        <w:jc w:val="both"/>
        <w:rPr>
          <w:rFonts w:ascii="Garamond" w:hAnsi="Garamond" w:cs="Arial"/>
          <w:color w:val="FF0000"/>
          <w:sz w:val="24"/>
          <w:szCs w:val="24"/>
        </w:rPr>
      </w:pPr>
    </w:p>
    <w:tbl>
      <w:tblPr>
        <w:tblpPr w:leftFromText="141" w:rightFromText="141" w:vertAnchor="text" w:horzAnchor="margin" w:tblpY="773"/>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2409"/>
        <w:gridCol w:w="1418"/>
        <w:gridCol w:w="2268"/>
        <w:gridCol w:w="1842"/>
        <w:gridCol w:w="142"/>
      </w:tblGrid>
      <w:tr w:rsidR="00941B59" w:rsidRPr="004513DA" w14:paraId="436CCF1F" w14:textId="77777777" w:rsidTr="00870C09">
        <w:trPr>
          <w:trHeight w:val="696"/>
        </w:trPr>
        <w:tc>
          <w:tcPr>
            <w:tcW w:w="9634" w:type="dxa"/>
            <w:gridSpan w:val="6"/>
            <w:tcBorders>
              <w:top w:val="single" w:sz="4" w:space="0" w:color="auto"/>
              <w:left w:val="single" w:sz="4" w:space="0" w:color="auto"/>
              <w:right w:val="single" w:sz="4" w:space="0" w:color="auto"/>
            </w:tcBorders>
            <w:shd w:val="clear" w:color="auto" w:fill="E2EFD9" w:themeFill="accent6" w:themeFillTint="33"/>
            <w:vAlign w:val="center"/>
          </w:tcPr>
          <w:p w14:paraId="122BA9CC" w14:textId="7A000BEA" w:rsidR="00D24102" w:rsidRPr="0060425E" w:rsidRDefault="00941B59" w:rsidP="00870C09">
            <w:pPr>
              <w:rPr>
                <w:rFonts w:ascii="Garamond" w:eastAsia="Calibri" w:hAnsi="Garamond" w:cs="Arial"/>
                <w:b/>
                <w:bCs/>
                <w:sz w:val="24"/>
                <w:szCs w:val="24"/>
              </w:rPr>
            </w:pPr>
            <w:r w:rsidRPr="0060425E">
              <w:rPr>
                <w:rFonts w:ascii="Garamond" w:eastAsia="Calibri" w:hAnsi="Garamond" w:cs="Arial"/>
                <w:b/>
                <w:bCs/>
                <w:sz w:val="24"/>
                <w:szCs w:val="24"/>
              </w:rPr>
              <w:t>MISURE SPECIFICHE CENTRI</w:t>
            </w:r>
            <w:r w:rsidR="00D24102" w:rsidRPr="0060425E">
              <w:rPr>
                <w:rFonts w:ascii="Garamond" w:eastAsia="Calibri" w:hAnsi="Garamond" w:cs="Arial"/>
                <w:b/>
                <w:bCs/>
                <w:sz w:val="24"/>
                <w:szCs w:val="24"/>
              </w:rPr>
              <w:t xml:space="preserve"> </w:t>
            </w:r>
            <w:r w:rsidRPr="0060425E">
              <w:rPr>
                <w:rFonts w:ascii="Garamond" w:eastAsia="Calibri" w:hAnsi="Garamond" w:cs="Arial"/>
                <w:b/>
                <w:bCs/>
                <w:sz w:val="24"/>
                <w:szCs w:val="24"/>
              </w:rPr>
              <w:t>(Rischio molto alto, alto</w:t>
            </w:r>
            <w:r w:rsidR="00753CFB" w:rsidRPr="0060425E">
              <w:rPr>
                <w:rFonts w:ascii="Garamond" w:eastAsia="Calibri" w:hAnsi="Garamond" w:cs="Arial"/>
                <w:b/>
                <w:bCs/>
                <w:sz w:val="24"/>
                <w:szCs w:val="24"/>
              </w:rPr>
              <w:t>,</w:t>
            </w:r>
            <w:r w:rsidRPr="0060425E">
              <w:rPr>
                <w:rFonts w:ascii="Garamond" w:eastAsia="Calibri" w:hAnsi="Garamond" w:cs="Arial"/>
                <w:b/>
                <w:bCs/>
                <w:sz w:val="24"/>
                <w:szCs w:val="24"/>
              </w:rPr>
              <w:t xml:space="preserve"> </w:t>
            </w:r>
            <w:r w:rsidR="00DB087D" w:rsidRPr="0060425E">
              <w:rPr>
                <w:rFonts w:ascii="Garamond" w:eastAsia="Calibri" w:hAnsi="Garamond" w:cs="Arial"/>
                <w:b/>
                <w:bCs/>
                <w:sz w:val="24"/>
                <w:szCs w:val="24"/>
              </w:rPr>
              <w:t>medio</w:t>
            </w:r>
            <w:r w:rsidR="00753CFB" w:rsidRPr="0060425E">
              <w:rPr>
                <w:rFonts w:ascii="Garamond" w:eastAsia="Calibri" w:hAnsi="Garamond" w:cs="Arial"/>
                <w:b/>
                <w:bCs/>
                <w:sz w:val="24"/>
                <w:szCs w:val="24"/>
              </w:rPr>
              <w:t xml:space="preserve"> e basso</w:t>
            </w:r>
            <w:r w:rsidR="00DB087D" w:rsidRPr="0060425E">
              <w:rPr>
                <w:rFonts w:ascii="Garamond" w:eastAsia="Calibri" w:hAnsi="Garamond" w:cs="Arial"/>
                <w:b/>
                <w:bCs/>
                <w:sz w:val="24"/>
                <w:szCs w:val="24"/>
              </w:rPr>
              <w:t>)</w:t>
            </w:r>
            <w:r w:rsidRPr="0060425E">
              <w:rPr>
                <w:rFonts w:ascii="Garamond" w:eastAsia="Calibri" w:hAnsi="Garamond" w:cs="Arial"/>
                <w:b/>
                <w:bCs/>
                <w:sz w:val="24"/>
                <w:szCs w:val="24"/>
              </w:rPr>
              <w:t xml:space="preserve">: </w:t>
            </w:r>
          </w:p>
          <w:p w14:paraId="0F72D547" w14:textId="3AD67EEA" w:rsidR="00941B59" w:rsidRPr="0060425E" w:rsidRDefault="00941B59" w:rsidP="00870C09">
            <w:pPr>
              <w:rPr>
                <w:rFonts w:ascii="Garamond" w:eastAsia="Calibri" w:hAnsi="Garamond" w:cs="Arial"/>
                <w:b/>
                <w:bCs/>
                <w:sz w:val="24"/>
                <w:szCs w:val="24"/>
              </w:rPr>
            </w:pPr>
            <w:r w:rsidRPr="0060425E">
              <w:rPr>
                <w:rFonts w:ascii="Garamond" w:eastAsia="Calibri" w:hAnsi="Garamond" w:cs="Arial"/>
                <w:b/>
                <w:bCs/>
                <w:sz w:val="24"/>
                <w:szCs w:val="24"/>
              </w:rPr>
              <w:t>STATO DI ATTUAZIONE 202</w:t>
            </w:r>
            <w:r w:rsidR="00753CFB" w:rsidRPr="0060425E">
              <w:rPr>
                <w:rFonts w:ascii="Garamond" w:eastAsia="Calibri" w:hAnsi="Garamond" w:cs="Arial"/>
                <w:b/>
                <w:bCs/>
                <w:sz w:val="24"/>
                <w:szCs w:val="24"/>
              </w:rPr>
              <w:t>5</w:t>
            </w:r>
          </w:p>
        </w:tc>
      </w:tr>
      <w:tr w:rsidR="00941B59" w:rsidRPr="004513DA" w14:paraId="72BB062A" w14:textId="77777777" w:rsidTr="00870C09">
        <w:trPr>
          <w:gridAfter w:val="1"/>
          <w:wAfter w:w="142" w:type="dxa"/>
          <w:trHeight w:val="634"/>
        </w:trPr>
        <w:tc>
          <w:tcPr>
            <w:tcW w:w="1555" w:type="dxa"/>
            <w:tcBorders>
              <w:top w:val="single" w:sz="4" w:space="0" w:color="auto"/>
              <w:left w:val="single" w:sz="4" w:space="0" w:color="auto"/>
              <w:right w:val="single" w:sz="4" w:space="0" w:color="auto"/>
            </w:tcBorders>
            <w:shd w:val="clear" w:color="auto" w:fill="E2EFD9" w:themeFill="accent6" w:themeFillTint="33"/>
            <w:vAlign w:val="center"/>
          </w:tcPr>
          <w:p w14:paraId="4052B94B" w14:textId="77777777" w:rsidR="00941B59" w:rsidRPr="004513DA" w:rsidRDefault="00941B59" w:rsidP="00870C09">
            <w:pPr>
              <w:jc w:val="center"/>
              <w:rPr>
                <w:rFonts w:ascii="Garamond" w:eastAsia="Calibri" w:hAnsi="Garamond" w:cs="Arial"/>
                <w:b/>
                <w:sz w:val="24"/>
                <w:szCs w:val="24"/>
              </w:rPr>
            </w:pPr>
            <w:r w:rsidRPr="004513DA">
              <w:rPr>
                <w:rFonts w:ascii="Garamond" w:eastAsia="Calibri" w:hAnsi="Garamond" w:cs="Arial"/>
                <w:b/>
                <w:bCs/>
                <w:sz w:val="24"/>
                <w:szCs w:val="24"/>
              </w:rPr>
              <w:t>PROCESSO</w:t>
            </w:r>
          </w:p>
        </w:tc>
        <w:tc>
          <w:tcPr>
            <w:tcW w:w="240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09B54B4" w14:textId="77777777" w:rsidR="00941B59" w:rsidRPr="0060425E" w:rsidRDefault="00941B59" w:rsidP="00870C09">
            <w:pPr>
              <w:jc w:val="center"/>
              <w:rPr>
                <w:rFonts w:ascii="Garamond" w:eastAsia="Calibri" w:hAnsi="Garamond" w:cs="Arial"/>
                <w:b/>
                <w:bCs/>
                <w:sz w:val="24"/>
                <w:szCs w:val="24"/>
              </w:rPr>
            </w:pPr>
            <w:r w:rsidRPr="0060425E">
              <w:rPr>
                <w:rFonts w:ascii="Garamond" w:eastAsia="Calibri" w:hAnsi="Garamond" w:cs="Arial"/>
                <w:b/>
                <w:bCs/>
                <w:sz w:val="24"/>
                <w:szCs w:val="24"/>
              </w:rPr>
              <w:t>SOTTOPROCESSO</w:t>
            </w:r>
          </w:p>
        </w:tc>
        <w:tc>
          <w:tcPr>
            <w:tcW w:w="14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20D4ACB" w14:textId="5AC5CDF1" w:rsidR="00941B59" w:rsidRPr="0060425E" w:rsidRDefault="0060425E" w:rsidP="00870C09">
            <w:pPr>
              <w:jc w:val="center"/>
              <w:rPr>
                <w:rFonts w:ascii="Garamond" w:eastAsia="Calibri" w:hAnsi="Garamond" w:cs="Arial"/>
                <w:b/>
                <w:bCs/>
                <w:sz w:val="24"/>
                <w:szCs w:val="24"/>
              </w:rPr>
            </w:pPr>
            <w:r>
              <w:rPr>
                <w:rFonts w:ascii="Garamond" w:eastAsia="Calibri" w:hAnsi="Garamond" w:cs="Arial"/>
                <w:b/>
                <w:bCs/>
                <w:sz w:val="24"/>
                <w:szCs w:val="24"/>
              </w:rPr>
              <w:t>LIVELLO DI RISCHIO</w:t>
            </w:r>
          </w:p>
        </w:tc>
        <w:tc>
          <w:tcPr>
            <w:tcW w:w="22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2FB1992" w14:textId="77777777" w:rsidR="00941B59" w:rsidRPr="0060425E" w:rsidRDefault="00941B59" w:rsidP="00870C09">
            <w:pPr>
              <w:jc w:val="center"/>
              <w:rPr>
                <w:rFonts w:ascii="Garamond" w:eastAsia="Calibri" w:hAnsi="Garamond" w:cs="Arial"/>
                <w:b/>
                <w:bCs/>
                <w:sz w:val="24"/>
                <w:szCs w:val="24"/>
              </w:rPr>
            </w:pPr>
            <w:r w:rsidRPr="0060425E">
              <w:rPr>
                <w:rFonts w:ascii="Garamond" w:eastAsia="Calibri" w:hAnsi="Garamond" w:cs="Arial"/>
                <w:b/>
                <w:bCs/>
                <w:sz w:val="24"/>
                <w:szCs w:val="24"/>
              </w:rPr>
              <w:t>MISURE</w:t>
            </w:r>
          </w:p>
        </w:tc>
        <w:tc>
          <w:tcPr>
            <w:tcW w:w="184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610EF5A" w14:textId="77777777" w:rsidR="00941B59" w:rsidRPr="0060425E" w:rsidRDefault="00941B59" w:rsidP="00870C09">
            <w:pPr>
              <w:jc w:val="center"/>
              <w:rPr>
                <w:rFonts w:ascii="Garamond" w:eastAsia="Calibri" w:hAnsi="Garamond" w:cs="Arial"/>
                <w:b/>
                <w:bCs/>
                <w:sz w:val="24"/>
                <w:szCs w:val="24"/>
              </w:rPr>
            </w:pPr>
            <w:r w:rsidRPr="0060425E">
              <w:rPr>
                <w:rFonts w:ascii="Garamond" w:eastAsia="Calibri" w:hAnsi="Garamond" w:cs="Arial"/>
                <w:b/>
                <w:bCs/>
                <w:sz w:val="24"/>
                <w:szCs w:val="24"/>
              </w:rPr>
              <w:t>ATTUAZIONE</w:t>
            </w:r>
          </w:p>
        </w:tc>
      </w:tr>
      <w:tr w:rsidR="00941B59" w:rsidRPr="004513DA" w14:paraId="2D92A03E" w14:textId="77777777" w:rsidTr="00870C09">
        <w:trPr>
          <w:gridAfter w:val="1"/>
          <w:wAfter w:w="142" w:type="dxa"/>
          <w:trHeight w:val="624"/>
        </w:trPr>
        <w:tc>
          <w:tcPr>
            <w:tcW w:w="1555" w:type="dxa"/>
            <w:tcBorders>
              <w:top w:val="single" w:sz="4" w:space="0" w:color="auto"/>
              <w:left w:val="single" w:sz="4" w:space="0" w:color="auto"/>
              <w:bottom w:val="single" w:sz="4" w:space="0" w:color="auto"/>
              <w:right w:val="single" w:sz="4" w:space="0" w:color="auto"/>
            </w:tcBorders>
            <w:vAlign w:val="center"/>
          </w:tcPr>
          <w:p w14:paraId="0BE87B7D" w14:textId="6E62998B" w:rsidR="00941B59" w:rsidRPr="004513DA" w:rsidRDefault="002C45FD" w:rsidP="00870C09">
            <w:pPr>
              <w:rPr>
                <w:rFonts w:ascii="Garamond" w:eastAsia="Calibri" w:hAnsi="Garamond" w:cs="Arial"/>
                <w:sz w:val="24"/>
                <w:szCs w:val="24"/>
              </w:rPr>
            </w:pPr>
            <w:r w:rsidRPr="004513DA">
              <w:rPr>
                <w:rFonts w:ascii="Garamond" w:eastAsia="Calibri" w:hAnsi="Garamond" w:cs="Arial"/>
                <w:sz w:val="24"/>
                <w:szCs w:val="24"/>
              </w:rPr>
              <w:t>URP</w:t>
            </w:r>
          </w:p>
        </w:tc>
        <w:tc>
          <w:tcPr>
            <w:tcW w:w="2409" w:type="dxa"/>
            <w:tcBorders>
              <w:top w:val="single" w:sz="4" w:space="0" w:color="auto"/>
              <w:left w:val="single" w:sz="4" w:space="0" w:color="auto"/>
              <w:bottom w:val="single" w:sz="4" w:space="0" w:color="auto"/>
              <w:right w:val="single" w:sz="4" w:space="0" w:color="auto"/>
            </w:tcBorders>
            <w:vAlign w:val="center"/>
          </w:tcPr>
          <w:p w14:paraId="70D61232" w14:textId="1580156F" w:rsidR="00941B59" w:rsidRPr="004513DA" w:rsidRDefault="002C45FD" w:rsidP="00870C09">
            <w:pPr>
              <w:rPr>
                <w:rFonts w:ascii="Garamond" w:eastAsia="Calibri" w:hAnsi="Garamond" w:cs="Arial"/>
                <w:sz w:val="24"/>
                <w:szCs w:val="24"/>
              </w:rPr>
            </w:pPr>
            <w:r w:rsidRPr="004513DA">
              <w:rPr>
                <w:rFonts w:ascii="Garamond" w:eastAsia="Calibri" w:hAnsi="Garamond" w:cs="Arial"/>
                <w:sz w:val="24"/>
                <w:szCs w:val="24"/>
              </w:rPr>
              <w:t>Gestione accesso agli atti</w:t>
            </w:r>
          </w:p>
        </w:tc>
        <w:tc>
          <w:tcPr>
            <w:tcW w:w="1418" w:type="dxa"/>
            <w:tcBorders>
              <w:top w:val="single" w:sz="4" w:space="0" w:color="auto"/>
              <w:left w:val="single" w:sz="4" w:space="0" w:color="auto"/>
              <w:bottom w:val="single" w:sz="4" w:space="0" w:color="auto"/>
              <w:right w:val="single" w:sz="4" w:space="0" w:color="auto"/>
            </w:tcBorders>
            <w:vAlign w:val="center"/>
          </w:tcPr>
          <w:p w14:paraId="5F84F34F" w14:textId="6EB0638B" w:rsidR="00941B59" w:rsidRPr="004513DA" w:rsidRDefault="002D4D06" w:rsidP="00870C09">
            <w:pPr>
              <w:spacing w:after="200" w:line="276" w:lineRule="auto"/>
              <w:jc w:val="center"/>
              <w:rPr>
                <w:rFonts w:ascii="Garamond" w:eastAsia="Calibri" w:hAnsi="Garamond" w:cs="Arial"/>
                <w:sz w:val="24"/>
                <w:szCs w:val="24"/>
              </w:rPr>
            </w:pPr>
            <w:r w:rsidRPr="004513DA">
              <w:rPr>
                <w:rFonts w:ascii="Garamond" w:eastAsia="Calibri" w:hAnsi="Garamond" w:cs="Arial"/>
                <w:sz w:val="24"/>
                <w:szCs w:val="24"/>
              </w:rPr>
              <w:t>Rischio basso</w:t>
            </w:r>
          </w:p>
        </w:tc>
        <w:tc>
          <w:tcPr>
            <w:tcW w:w="2268" w:type="dxa"/>
            <w:tcBorders>
              <w:top w:val="single" w:sz="4" w:space="0" w:color="auto"/>
              <w:left w:val="single" w:sz="4" w:space="0" w:color="auto"/>
              <w:bottom w:val="single" w:sz="4" w:space="0" w:color="auto"/>
              <w:right w:val="single" w:sz="4" w:space="0" w:color="auto"/>
            </w:tcBorders>
            <w:vAlign w:val="center"/>
          </w:tcPr>
          <w:p w14:paraId="0A771450" w14:textId="2208DDDE" w:rsidR="00941B59" w:rsidRPr="004513DA" w:rsidRDefault="002D4D06" w:rsidP="00870C09">
            <w:pPr>
              <w:spacing w:after="200" w:line="276" w:lineRule="auto"/>
              <w:rPr>
                <w:rFonts w:ascii="Garamond" w:eastAsia="Calibri" w:hAnsi="Garamond" w:cs="Arial"/>
                <w:sz w:val="24"/>
                <w:szCs w:val="24"/>
              </w:rPr>
            </w:pPr>
            <w:r w:rsidRPr="004513DA">
              <w:rPr>
                <w:rFonts w:ascii="Garamond" w:eastAsia="Calibri" w:hAnsi="Garamond" w:cs="Arial"/>
                <w:sz w:val="24"/>
                <w:szCs w:val="24"/>
              </w:rPr>
              <w:t>Applicazione Regolamento sul diritto di accesso del CREA e compilazione registro degli accessi</w:t>
            </w:r>
          </w:p>
        </w:tc>
        <w:tc>
          <w:tcPr>
            <w:tcW w:w="1842" w:type="dxa"/>
            <w:tcBorders>
              <w:top w:val="single" w:sz="4" w:space="0" w:color="auto"/>
              <w:left w:val="single" w:sz="4" w:space="0" w:color="auto"/>
              <w:bottom w:val="single" w:sz="4" w:space="0" w:color="auto"/>
              <w:right w:val="single" w:sz="4" w:space="0" w:color="auto"/>
            </w:tcBorders>
            <w:vAlign w:val="center"/>
          </w:tcPr>
          <w:p w14:paraId="15530925" w14:textId="7ABC8FC5" w:rsidR="00941B59" w:rsidRPr="004513DA" w:rsidRDefault="008F0347" w:rsidP="00870C09">
            <w:pPr>
              <w:spacing w:after="200" w:line="276" w:lineRule="auto"/>
              <w:jc w:val="center"/>
              <w:rPr>
                <w:rFonts w:ascii="Garamond" w:eastAsia="Calibri" w:hAnsi="Garamond" w:cs="Arial"/>
                <w:sz w:val="24"/>
                <w:szCs w:val="24"/>
              </w:rPr>
            </w:pPr>
            <w:r w:rsidRPr="004513DA">
              <w:rPr>
                <w:rFonts w:ascii="Garamond" w:eastAsia="Calibri" w:hAnsi="Garamond" w:cs="Arial"/>
                <w:sz w:val="24"/>
                <w:szCs w:val="24"/>
              </w:rPr>
              <w:t>adottata</w:t>
            </w:r>
          </w:p>
        </w:tc>
      </w:tr>
      <w:tr w:rsidR="00A6465F" w:rsidRPr="004513DA" w14:paraId="41F0B0FC" w14:textId="77777777" w:rsidTr="00870C09">
        <w:trPr>
          <w:gridAfter w:val="1"/>
          <w:wAfter w:w="142" w:type="dxa"/>
          <w:trHeight w:val="691"/>
        </w:trPr>
        <w:tc>
          <w:tcPr>
            <w:tcW w:w="1555" w:type="dxa"/>
            <w:vMerge w:val="restart"/>
            <w:tcBorders>
              <w:top w:val="single" w:sz="4" w:space="0" w:color="auto"/>
              <w:left w:val="single" w:sz="4" w:space="0" w:color="auto"/>
              <w:right w:val="single" w:sz="4" w:space="0" w:color="auto"/>
            </w:tcBorders>
            <w:vAlign w:val="center"/>
          </w:tcPr>
          <w:p w14:paraId="6D1A2F28" w14:textId="7D9A9ADC" w:rsidR="00A6465F" w:rsidRPr="004513DA" w:rsidRDefault="00A6465F" w:rsidP="00870C09">
            <w:pPr>
              <w:rPr>
                <w:rFonts w:ascii="Garamond" w:eastAsia="Calibri" w:hAnsi="Garamond" w:cs="Arial"/>
                <w:sz w:val="24"/>
                <w:szCs w:val="24"/>
              </w:rPr>
            </w:pPr>
            <w:r w:rsidRPr="004513DA">
              <w:rPr>
                <w:rFonts w:ascii="Garamond" w:eastAsia="Calibri" w:hAnsi="Garamond" w:cs="Arial"/>
                <w:sz w:val="24"/>
                <w:szCs w:val="24"/>
              </w:rPr>
              <w:t>Attività tecnico-amministrative relative ai progetti</w:t>
            </w:r>
          </w:p>
        </w:tc>
        <w:tc>
          <w:tcPr>
            <w:tcW w:w="2409" w:type="dxa"/>
            <w:vMerge w:val="restart"/>
            <w:tcBorders>
              <w:top w:val="single" w:sz="4" w:space="0" w:color="auto"/>
              <w:left w:val="single" w:sz="4" w:space="0" w:color="auto"/>
              <w:right w:val="single" w:sz="4" w:space="0" w:color="auto"/>
            </w:tcBorders>
            <w:vAlign w:val="center"/>
          </w:tcPr>
          <w:p w14:paraId="208FFA0F" w14:textId="4423932E" w:rsidR="00A6465F" w:rsidRPr="004513DA" w:rsidRDefault="00A6465F" w:rsidP="00870C09">
            <w:pPr>
              <w:rPr>
                <w:rFonts w:ascii="Garamond" w:eastAsia="Calibri" w:hAnsi="Garamond" w:cs="Arial"/>
                <w:sz w:val="24"/>
                <w:szCs w:val="24"/>
              </w:rPr>
            </w:pPr>
            <w:r w:rsidRPr="004513DA">
              <w:rPr>
                <w:rFonts w:ascii="Garamond" w:eastAsia="Calibri" w:hAnsi="Garamond" w:cs="Arial"/>
                <w:sz w:val="24"/>
                <w:szCs w:val="24"/>
              </w:rPr>
              <w:t>Gestione dei progetti e predisposizione della rendicontazione dei progetti anche PNRR e Fondi strutturali</w:t>
            </w:r>
          </w:p>
        </w:tc>
        <w:tc>
          <w:tcPr>
            <w:tcW w:w="1418" w:type="dxa"/>
            <w:vMerge w:val="restart"/>
            <w:tcBorders>
              <w:top w:val="single" w:sz="4" w:space="0" w:color="auto"/>
              <w:left w:val="single" w:sz="4" w:space="0" w:color="auto"/>
              <w:right w:val="single" w:sz="4" w:space="0" w:color="auto"/>
            </w:tcBorders>
            <w:vAlign w:val="center"/>
          </w:tcPr>
          <w:p w14:paraId="4E78D3E9" w14:textId="557DB0BA" w:rsidR="00180607" w:rsidRPr="004513DA" w:rsidRDefault="00B60ECA" w:rsidP="00870C09">
            <w:pPr>
              <w:spacing w:after="200" w:line="276" w:lineRule="auto"/>
              <w:jc w:val="center"/>
              <w:rPr>
                <w:rFonts w:ascii="Garamond" w:eastAsia="Calibri" w:hAnsi="Garamond" w:cs="Arial"/>
                <w:sz w:val="24"/>
                <w:szCs w:val="24"/>
              </w:rPr>
            </w:pPr>
            <w:r w:rsidRPr="004513DA">
              <w:rPr>
                <w:rFonts w:ascii="Garamond" w:eastAsia="Calibri" w:hAnsi="Garamond" w:cs="Arial"/>
                <w:sz w:val="24"/>
                <w:szCs w:val="24"/>
              </w:rPr>
              <w:t>Rischio medio</w:t>
            </w:r>
          </w:p>
        </w:tc>
        <w:tc>
          <w:tcPr>
            <w:tcW w:w="2268" w:type="dxa"/>
            <w:tcBorders>
              <w:top w:val="single" w:sz="4" w:space="0" w:color="auto"/>
              <w:left w:val="single" w:sz="4" w:space="0" w:color="auto"/>
              <w:bottom w:val="single" w:sz="4" w:space="0" w:color="auto"/>
              <w:right w:val="single" w:sz="4" w:space="0" w:color="auto"/>
            </w:tcBorders>
          </w:tcPr>
          <w:p w14:paraId="50DFDE16" w14:textId="4C5F2D22" w:rsidR="00A6465F" w:rsidRPr="004513DA" w:rsidRDefault="004B4D1F" w:rsidP="00870C09">
            <w:pPr>
              <w:spacing w:after="200" w:line="276" w:lineRule="auto"/>
              <w:rPr>
                <w:rFonts w:ascii="Garamond" w:eastAsia="Calibri" w:hAnsi="Garamond" w:cs="Arial"/>
                <w:sz w:val="24"/>
                <w:szCs w:val="24"/>
              </w:rPr>
            </w:pPr>
            <w:r w:rsidRPr="004513DA">
              <w:rPr>
                <w:rFonts w:ascii="Garamond" w:eastAsia="Calibri" w:hAnsi="Garamond" w:cs="Arial"/>
                <w:sz w:val="24"/>
                <w:szCs w:val="24"/>
              </w:rPr>
              <w:t xml:space="preserve">Apposizione del visto da parte del Responsabile dell’Ufficio gestione progetti di ricerca e contabilità sulla richiesta di variazione a firma del coordinatore e/o del responsabile del progetto  </w:t>
            </w:r>
          </w:p>
        </w:tc>
        <w:tc>
          <w:tcPr>
            <w:tcW w:w="1842" w:type="dxa"/>
            <w:tcBorders>
              <w:top w:val="single" w:sz="4" w:space="0" w:color="auto"/>
              <w:left w:val="single" w:sz="4" w:space="0" w:color="auto"/>
              <w:bottom w:val="single" w:sz="4" w:space="0" w:color="auto"/>
              <w:right w:val="single" w:sz="4" w:space="0" w:color="auto"/>
            </w:tcBorders>
            <w:vAlign w:val="center"/>
          </w:tcPr>
          <w:p w14:paraId="3757E4C8" w14:textId="2BF72EBA" w:rsidR="00A6465F" w:rsidRPr="004513DA" w:rsidRDefault="00DD122B" w:rsidP="00870C09">
            <w:pPr>
              <w:spacing w:after="200" w:line="276" w:lineRule="auto"/>
              <w:jc w:val="center"/>
              <w:rPr>
                <w:rFonts w:ascii="Garamond" w:eastAsia="Calibri" w:hAnsi="Garamond" w:cs="Arial"/>
                <w:sz w:val="24"/>
                <w:szCs w:val="24"/>
              </w:rPr>
            </w:pPr>
            <w:r w:rsidRPr="004513DA">
              <w:rPr>
                <w:rFonts w:ascii="Garamond" w:eastAsia="Calibri" w:hAnsi="Garamond" w:cs="Arial"/>
                <w:sz w:val="24"/>
                <w:szCs w:val="24"/>
              </w:rPr>
              <w:t>adottata</w:t>
            </w:r>
          </w:p>
        </w:tc>
      </w:tr>
      <w:tr w:rsidR="00A6465F" w:rsidRPr="004513DA" w14:paraId="2921980F" w14:textId="77777777" w:rsidTr="00870C09">
        <w:trPr>
          <w:gridAfter w:val="1"/>
          <w:wAfter w:w="142" w:type="dxa"/>
          <w:trHeight w:val="39"/>
        </w:trPr>
        <w:tc>
          <w:tcPr>
            <w:tcW w:w="1555" w:type="dxa"/>
            <w:vMerge/>
            <w:tcBorders>
              <w:left w:val="single" w:sz="4" w:space="0" w:color="auto"/>
              <w:right w:val="single" w:sz="4" w:space="0" w:color="auto"/>
            </w:tcBorders>
          </w:tcPr>
          <w:p w14:paraId="49C295B4" w14:textId="77777777" w:rsidR="00A6465F" w:rsidRPr="004513DA" w:rsidRDefault="00A6465F" w:rsidP="00870C09">
            <w:pPr>
              <w:rPr>
                <w:rFonts w:ascii="Garamond" w:eastAsia="Calibri" w:hAnsi="Garamond" w:cs="Arial"/>
                <w:sz w:val="24"/>
                <w:szCs w:val="24"/>
              </w:rPr>
            </w:pPr>
          </w:p>
        </w:tc>
        <w:tc>
          <w:tcPr>
            <w:tcW w:w="2409" w:type="dxa"/>
            <w:vMerge/>
            <w:tcBorders>
              <w:left w:val="single" w:sz="4" w:space="0" w:color="auto"/>
              <w:right w:val="single" w:sz="4" w:space="0" w:color="auto"/>
            </w:tcBorders>
          </w:tcPr>
          <w:p w14:paraId="48F5F248" w14:textId="7800500D" w:rsidR="00A6465F" w:rsidRPr="004513DA" w:rsidRDefault="00A6465F" w:rsidP="00870C09">
            <w:pPr>
              <w:rPr>
                <w:rFonts w:ascii="Garamond" w:eastAsia="Calibri" w:hAnsi="Garamond" w:cs="Arial"/>
                <w:sz w:val="24"/>
                <w:szCs w:val="24"/>
              </w:rPr>
            </w:pPr>
          </w:p>
        </w:tc>
        <w:tc>
          <w:tcPr>
            <w:tcW w:w="1418" w:type="dxa"/>
            <w:vMerge/>
            <w:tcBorders>
              <w:left w:val="single" w:sz="4" w:space="0" w:color="auto"/>
              <w:right w:val="single" w:sz="4" w:space="0" w:color="auto"/>
            </w:tcBorders>
            <w:vAlign w:val="center"/>
          </w:tcPr>
          <w:p w14:paraId="1E5C9078" w14:textId="103262AD" w:rsidR="00A6465F" w:rsidRPr="004513DA" w:rsidRDefault="00A6465F" w:rsidP="00870C09">
            <w:pPr>
              <w:spacing w:after="200" w:line="276" w:lineRule="auto"/>
              <w:jc w:val="center"/>
              <w:rPr>
                <w:rFonts w:ascii="Garamond" w:eastAsia="Calibri" w:hAnsi="Garamond" w:cs="Arial"/>
                <w:sz w:val="24"/>
                <w:szCs w:val="24"/>
              </w:rPr>
            </w:pPr>
          </w:p>
        </w:tc>
        <w:tc>
          <w:tcPr>
            <w:tcW w:w="2268" w:type="dxa"/>
            <w:tcBorders>
              <w:top w:val="single" w:sz="4" w:space="0" w:color="auto"/>
              <w:left w:val="single" w:sz="4" w:space="0" w:color="auto"/>
              <w:bottom w:val="single" w:sz="4" w:space="0" w:color="auto"/>
              <w:right w:val="single" w:sz="4" w:space="0" w:color="auto"/>
            </w:tcBorders>
          </w:tcPr>
          <w:p w14:paraId="24A9F37C" w14:textId="230860B5" w:rsidR="00A6465F" w:rsidRPr="004513DA" w:rsidRDefault="00180607" w:rsidP="00870C09">
            <w:pPr>
              <w:spacing w:after="200" w:line="276" w:lineRule="auto"/>
              <w:rPr>
                <w:rFonts w:ascii="Garamond" w:eastAsia="Calibri" w:hAnsi="Garamond" w:cs="Arial"/>
                <w:sz w:val="24"/>
                <w:szCs w:val="24"/>
              </w:rPr>
            </w:pPr>
            <w:r w:rsidRPr="004513DA">
              <w:rPr>
                <w:rFonts w:ascii="Garamond" w:eastAsia="Calibri" w:hAnsi="Garamond" w:cs="Arial"/>
                <w:sz w:val="24"/>
                <w:szCs w:val="24"/>
              </w:rPr>
              <w:t>Partecipazione alle riunioni con l'Ufficio Progetti dell'AC e ai confronti con il gruppo di lavoro PNRR</w:t>
            </w:r>
          </w:p>
        </w:tc>
        <w:tc>
          <w:tcPr>
            <w:tcW w:w="1842" w:type="dxa"/>
            <w:tcBorders>
              <w:top w:val="single" w:sz="4" w:space="0" w:color="auto"/>
              <w:left w:val="single" w:sz="4" w:space="0" w:color="auto"/>
              <w:bottom w:val="single" w:sz="4" w:space="0" w:color="auto"/>
              <w:right w:val="single" w:sz="4" w:space="0" w:color="auto"/>
            </w:tcBorders>
            <w:vAlign w:val="center"/>
          </w:tcPr>
          <w:p w14:paraId="26EE9046" w14:textId="7D60C539" w:rsidR="00A6465F" w:rsidRPr="004513DA" w:rsidRDefault="00BF3E0D" w:rsidP="00870C09">
            <w:pPr>
              <w:spacing w:after="200" w:line="276" w:lineRule="auto"/>
              <w:jc w:val="center"/>
              <w:rPr>
                <w:rFonts w:ascii="Garamond" w:eastAsia="Calibri" w:hAnsi="Garamond" w:cs="Arial"/>
                <w:sz w:val="24"/>
                <w:szCs w:val="24"/>
              </w:rPr>
            </w:pPr>
            <w:r w:rsidRPr="004513DA">
              <w:rPr>
                <w:rFonts w:ascii="Garamond" w:eastAsia="Calibri" w:hAnsi="Garamond" w:cs="Arial"/>
                <w:sz w:val="24"/>
                <w:szCs w:val="24"/>
              </w:rPr>
              <w:t>adottata</w:t>
            </w:r>
          </w:p>
        </w:tc>
      </w:tr>
      <w:tr w:rsidR="00941B59" w:rsidRPr="004513DA" w14:paraId="70118BC5" w14:textId="77777777" w:rsidTr="00870C09">
        <w:trPr>
          <w:gridAfter w:val="1"/>
          <w:wAfter w:w="142" w:type="dxa"/>
          <w:trHeight w:val="39"/>
        </w:trPr>
        <w:tc>
          <w:tcPr>
            <w:tcW w:w="1555" w:type="dxa"/>
            <w:tcBorders>
              <w:top w:val="single" w:sz="4" w:space="0" w:color="auto"/>
              <w:left w:val="single" w:sz="4" w:space="0" w:color="auto"/>
              <w:bottom w:val="single" w:sz="4" w:space="0" w:color="auto"/>
              <w:right w:val="single" w:sz="4" w:space="0" w:color="auto"/>
            </w:tcBorders>
            <w:vAlign w:val="center"/>
          </w:tcPr>
          <w:p w14:paraId="3EA85ED0" w14:textId="547D49ED" w:rsidR="00941B59" w:rsidRPr="004513DA" w:rsidRDefault="0066159A" w:rsidP="00870C09">
            <w:pPr>
              <w:rPr>
                <w:rFonts w:ascii="Garamond" w:eastAsia="Calibri" w:hAnsi="Garamond" w:cs="Arial"/>
                <w:sz w:val="24"/>
                <w:szCs w:val="24"/>
              </w:rPr>
            </w:pPr>
            <w:r w:rsidRPr="004513DA">
              <w:rPr>
                <w:rFonts w:ascii="Garamond" w:eastAsia="Calibri" w:hAnsi="Garamond" w:cs="Arial"/>
                <w:sz w:val="24"/>
                <w:szCs w:val="24"/>
              </w:rPr>
              <w:t>Trattamento economico del personale in servizio</w:t>
            </w:r>
          </w:p>
        </w:tc>
        <w:tc>
          <w:tcPr>
            <w:tcW w:w="2409" w:type="dxa"/>
            <w:tcBorders>
              <w:top w:val="single" w:sz="4" w:space="0" w:color="auto"/>
              <w:left w:val="single" w:sz="4" w:space="0" w:color="auto"/>
              <w:bottom w:val="single" w:sz="4" w:space="0" w:color="auto"/>
              <w:right w:val="single" w:sz="4" w:space="0" w:color="auto"/>
            </w:tcBorders>
            <w:vAlign w:val="center"/>
          </w:tcPr>
          <w:p w14:paraId="5C4A2242" w14:textId="4DE2E65E" w:rsidR="00941B59" w:rsidRPr="004513DA" w:rsidRDefault="002B6E0E" w:rsidP="00870C09">
            <w:pPr>
              <w:rPr>
                <w:rFonts w:ascii="Garamond" w:eastAsia="Calibri" w:hAnsi="Garamond" w:cs="Arial"/>
                <w:sz w:val="24"/>
                <w:szCs w:val="24"/>
              </w:rPr>
            </w:pPr>
            <w:r w:rsidRPr="004513DA">
              <w:rPr>
                <w:rFonts w:ascii="Garamond" w:eastAsia="Calibri" w:hAnsi="Garamond" w:cs="Arial"/>
                <w:sz w:val="24"/>
                <w:szCs w:val="24"/>
              </w:rPr>
              <w:t>Liquidazioni delle missioni del personale dipendente del Centro</w:t>
            </w:r>
          </w:p>
        </w:tc>
        <w:tc>
          <w:tcPr>
            <w:tcW w:w="1418" w:type="dxa"/>
            <w:tcBorders>
              <w:top w:val="single" w:sz="4" w:space="0" w:color="auto"/>
              <w:left w:val="single" w:sz="4" w:space="0" w:color="auto"/>
              <w:bottom w:val="single" w:sz="4" w:space="0" w:color="auto"/>
              <w:right w:val="single" w:sz="4" w:space="0" w:color="auto"/>
            </w:tcBorders>
            <w:vAlign w:val="center"/>
          </w:tcPr>
          <w:p w14:paraId="23112FDF" w14:textId="0E006F03" w:rsidR="00941B59" w:rsidRPr="004513DA" w:rsidRDefault="002B6E0E" w:rsidP="00870C09">
            <w:pPr>
              <w:spacing w:after="200" w:line="276" w:lineRule="auto"/>
              <w:jc w:val="center"/>
              <w:rPr>
                <w:rFonts w:ascii="Garamond" w:eastAsia="Calibri" w:hAnsi="Garamond" w:cs="Arial"/>
                <w:sz w:val="24"/>
                <w:szCs w:val="24"/>
              </w:rPr>
            </w:pPr>
            <w:r w:rsidRPr="004513DA">
              <w:rPr>
                <w:rFonts w:ascii="Garamond" w:eastAsia="Calibri" w:hAnsi="Garamond" w:cs="Arial"/>
                <w:sz w:val="24"/>
                <w:szCs w:val="24"/>
              </w:rPr>
              <w:t>Rischio basso</w:t>
            </w:r>
          </w:p>
        </w:tc>
        <w:tc>
          <w:tcPr>
            <w:tcW w:w="2268" w:type="dxa"/>
            <w:tcBorders>
              <w:top w:val="single" w:sz="4" w:space="0" w:color="auto"/>
              <w:left w:val="single" w:sz="4" w:space="0" w:color="auto"/>
              <w:bottom w:val="single" w:sz="4" w:space="0" w:color="auto"/>
              <w:right w:val="single" w:sz="4" w:space="0" w:color="auto"/>
            </w:tcBorders>
          </w:tcPr>
          <w:p w14:paraId="65663515" w14:textId="1D8BF2C5" w:rsidR="00941B59" w:rsidRPr="004513DA" w:rsidRDefault="00141915" w:rsidP="00870C09">
            <w:pPr>
              <w:spacing w:after="200" w:line="276" w:lineRule="auto"/>
              <w:rPr>
                <w:rFonts w:ascii="Garamond" w:eastAsia="Calibri" w:hAnsi="Garamond" w:cs="Arial"/>
                <w:sz w:val="24"/>
                <w:szCs w:val="24"/>
              </w:rPr>
            </w:pPr>
            <w:r w:rsidRPr="004513DA">
              <w:rPr>
                <w:rFonts w:ascii="Garamond" w:eastAsia="Calibri" w:hAnsi="Garamond" w:cs="Arial"/>
                <w:sz w:val="24"/>
                <w:szCs w:val="24"/>
              </w:rPr>
              <w:t>Applicazione del Regolamento per le missioni in Italia e all'estero</w:t>
            </w:r>
          </w:p>
        </w:tc>
        <w:tc>
          <w:tcPr>
            <w:tcW w:w="1842" w:type="dxa"/>
            <w:tcBorders>
              <w:top w:val="single" w:sz="4" w:space="0" w:color="auto"/>
              <w:left w:val="single" w:sz="4" w:space="0" w:color="auto"/>
              <w:bottom w:val="single" w:sz="4" w:space="0" w:color="auto"/>
              <w:right w:val="single" w:sz="4" w:space="0" w:color="auto"/>
            </w:tcBorders>
            <w:vAlign w:val="center"/>
          </w:tcPr>
          <w:p w14:paraId="1D0F53E0" w14:textId="74378313" w:rsidR="00941B59" w:rsidRPr="004513DA" w:rsidRDefault="00BF3E0D" w:rsidP="00870C09">
            <w:pPr>
              <w:spacing w:after="200" w:line="276" w:lineRule="auto"/>
              <w:jc w:val="center"/>
              <w:rPr>
                <w:rFonts w:ascii="Garamond" w:eastAsia="Calibri" w:hAnsi="Garamond" w:cs="Arial"/>
                <w:sz w:val="24"/>
                <w:szCs w:val="24"/>
              </w:rPr>
            </w:pPr>
            <w:r w:rsidRPr="004513DA">
              <w:rPr>
                <w:rFonts w:ascii="Garamond" w:eastAsia="Calibri" w:hAnsi="Garamond" w:cs="Arial"/>
                <w:sz w:val="24"/>
                <w:szCs w:val="24"/>
              </w:rPr>
              <w:t>adottata</w:t>
            </w:r>
          </w:p>
        </w:tc>
      </w:tr>
      <w:tr w:rsidR="00941B59" w:rsidRPr="004513DA" w14:paraId="0266D0C4" w14:textId="77777777" w:rsidTr="00870C09">
        <w:trPr>
          <w:gridAfter w:val="1"/>
          <w:wAfter w:w="142" w:type="dxa"/>
          <w:trHeight w:val="1262"/>
        </w:trPr>
        <w:tc>
          <w:tcPr>
            <w:tcW w:w="1555" w:type="dxa"/>
            <w:tcBorders>
              <w:top w:val="single" w:sz="4" w:space="0" w:color="auto"/>
              <w:left w:val="single" w:sz="4" w:space="0" w:color="auto"/>
              <w:bottom w:val="single" w:sz="4" w:space="0" w:color="auto"/>
              <w:right w:val="single" w:sz="4" w:space="0" w:color="auto"/>
            </w:tcBorders>
            <w:vAlign w:val="center"/>
          </w:tcPr>
          <w:p w14:paraId="6C2BE4C6" w14:textId="7E0D3249" w:rsidR="00941B59" w:rsidRPr="004513DA" w:rsidRDefault="009812D8" w:rsidP="00870C09">
            <w:pPr>
              <w:rPr>
                <w:rFonts w:ascii="Garamond" w:eastAsia="Calibri" w:hAnsi="Garamond" w:cs="Arial"/>
                <w:sz w:val="24"/>
                <w:szCs w:val="24"/>
              </w:rPr>
            </w:pPr>
            <w:r w:rsidRPr="004513DA">
              <w:rPr>
                <w:rFonts w:ascii="Garamond" w:eastAsia="Calibri" w:hAnsi="Garamond" w:cs="Arial"/>
                <w:sz w:val="24"/>
                <w:szCs w:val="24"/>
              </w:rPr>
              <w:lastRenderedPageBreak/>
              <w:t>Gestione e valorizzazione del patrimonio immobiliare del CREA</w:t>
            </w:r>
          </w:p>
        </w:tc>
        <w:tc>
          <w:tcPr>
            <w:tcW w:w="2409" w:type="dxa"/>
            <w:tcBorders>
              <w:top w:val="single" w:sz="4" w:space="0" w:color="auto"/>
              <w:left w:val="single" w:sz="4" w:space="0" w:color="auto"/>
              <w:bottom w:val="single" w:sz="4" w:space="0" w:color="auto"/>
              <w:right w:val="single" w:sz="4" w:space="0" w:color="auto"/>
            </w:tcBorders>
            <w:vAlign w:val="center"/>
          </w:tcPr>
          <w:p w14:paraId="6AF46275" w14:textId="79EFBFF2" w:rsidR="00941B59" w:rsidRPr="004513DA" w:rsidRDefault="009812D8" w:rsidP="00870C09">
            <w:pPr>
              <w:rPr>
                <w:rFonts w:ascii="Garamond" w:eastAsia="Calibri" w:hAnsi="Garamond" w:cs="Arial"/>
                <w:sz w:val="24"/>
                <w:szCs w:val="24"/>
              </w:rPr>
            </w:pPr>
            <w:r w:rsidRPr="004513DA">
              <w:rPr>
                <w:rFonts w:ascii="Garamond" w:eastAsia="Calibri" w:hAnsi="Garamond" w:cs="Arial"/>
                <w:sz w:val="24"/>
                <w:szCs w:val="24"/>
              </w:rPr>
              <w:t>Gestione locale, su delega, delle procedure di alienazione e di acquisto dei beni immobili dell'Ente</w:t>
            </w:r>
          </w:p>
        </w:tc>
        <w:tc>
          <w:tcPr>
            <w:tcW w:w="1418" w:type="dxa"/>
            <w:tcBorders>
              <w:top w:val="single" w:sz="4" w:space="0" w:color="auto"/>
              <w:left w:val="single" w:sz="4" w:space="0" w:color="auto"/>
              <w:bottom w:val="single" w:sz="4" w:space="0" w:color="auto"/>
              <w:right w:val="single" w:sz="4" w:space="0" w:color="auto"/>
            </w:tcBorders>
            <w:vAlign w:val="center"/>
          </w:tcPr>
          <w:p w14:paraId="3C721D50" w14:textId="21B6BF7B" w:rsidR="00941B59" w:rsidRPr="004513DA" w:rsidRDefault="009812D8" w:rsidP="00870C09">
            <w:pPr>
              <w:jc w:val="center"/>
              <w:rPr>
                <w:rFonts w:ascii="Garamond" w:eastAsia="Calibri" w:hAnsi="Garamond" w:cs="Arial"/>
                <w:sz w:val="24"/>
                <w:szCs w:val="24"/>
              </w:rPr>
            </w:pPr>
            <w:r w:rsidRPr="004513DA">
              <w:rPr>
                <w:rFonts w:ascii="Garamond" w:eastAsia="Calibri" w:hAnsi="Garamond" w:cs="Arial"/>
                <w:sz w:val="24"/>
                <w:szCs w:val="24"/>
              </w:rPr>
              <w:t>Rischio molto alto</w:t>
            </w:r>
          </w:p>
        </w:tc>
        <w:tc>
          <w:tcPr>
            <w:tcW w:w="2268" w:type="dxa"/>
            <w:tcBorders>
              <w:top w:val="single" w:sz="4" w:space="0" w:color="auto"/>
              <w:left w:val="single" w:sz="4" w:space="0" w:color="auto"/>
              <w:bottom w:val="single" w:sz="4" w:space="0" w:color="auto"/>
              <w:right w:val="single" w:sz="4" w:space="0" w:color="auto"/>
            </w:tcBorders>
            <w:vAlign w:val="center"/>
          </w:tcPr>
          <w:p w14:paraId="34A940B8" w14:textId="21A4A145" w:rsidR="00941B59" w:rsidRPr="004513DA" w:rsidRDefault="005D25A0" w:rsidP="00870C09">
            <w:pPr>
              <w:rPr>
                <w:rFonts w:ascii="Garamond" w:eastAsia="Calibri" w:hAnsi="Garamond" w:cs="Arial"/>
                <w:sz w:val="24"/>
                <w:szCs w:val="24"/>
              </w:rPr>
            </w:pPr>
            <w:r w:rsidRPr="004513DA">
              <w:rPr>
                <w:rFonts w:ascii="Garamond" w:eastAsia="Calibri" w:hAnsi="Garamond" w:cs="Arial"/>
                <w:sz w:val="24"/>
                <w:szCs w:val="24"/>
              </w:rPr>
              <w:t>Applicazione delle indicazioni fornite dall'Ufficio USC4 sulle procedure di alienazione e di acquisto di beni immobili</w:t>
            </w:r>
          </w:p>
        </w:tc>
        <w:tc>
          <w:tcPr>
            <w:tcW w:w="1842" w:type="dxa"/>
            <w:tcBorders>
              <w:top w:val="single" w:sz="4" w:space="0" w:color="auto"/>
              <w:left w:val="single" w:sz="4" w:space="0" w:color="auto"/>
              <w:bottom w:val="single" w:sz="4" w:space="0" w:color="auto"/>
              <w:right w:val="single" w:sz="4" w:space="0" w:color="auto"/>
            </w:tcBorders>
            <w:vAlign w:val="center"/>
          </w:tcPr>
          <w:p w14:paraId="5C2494A1" w14:textId="549043C6" w:rsidR="00941B59" w:rsidRPr="004513DA" w:rsidRDefault="00972D32" w:rsidP="00870C09">
            <w:pPr>
              <w:jc w:val="center"/>
              <w:rPr>
                <w:rFonts w:ascii="Garamond" w:eastAsia="Calibri" w:hAnsi="Garamond" w:cs="Arial"/>
                <w:b/>
                <w:bCs/>
                <w:sz w:val="24"/>
                <w:szCs w:val="24"/>
              </w:rPr>
            </w:pPr>
            <w:r w:rsidRPr="004513DA">
              <w:rPr>
                <w:rFonts w:ascii="Garamond" w:eastAsia="Calibri" w:hAnsi="Garamond" w:cs="Arial"/>
                <w:b/>
                <w:bCs/>
                <w:sz w:val="24"/>
                <w:szCs w:val="24"/>
              </w:rPr>
              <w:t>riprogrammata</w:t>
            </w:r>
          </w:p>
        </w:tc>
      </w:tr>
      <w:tr w:rsidR="000F6C48" w:rsidRPr="004513DA" w14:paraId="730C27A9" w14:textId="77777777" w:rsidTr="00870C09">
        <w:trPr>
          <w:gridAfter w:val="1"/>
          <w:wAfter w:w="142" w:type="dxa"/>
          <w:trHeight w:val="1266"/>
        </w:trPr>
        <w:tc>
          <w:tcPr>
            <w:tcW w:w="1555" w:type="dxa"/>
            <w:tcBorders>
              <w:top w:val="single" w:sz="4" w:space="0" w:color="auto"/>
              <w:left w:val="single" w:sz="4" w:space="0" w:color="auto"/>
              <w:right w:val="single" w:sz="4" w:space="0" w:color="auto"/>
            </w:tcBorders>
            <w:vAlign w:val="center"/>
          </w:tcPr>
          <w:p w14:paraId="3D638E60" w14:textId="5A3BB8DA" w:rsidR="000F6C48" w:rsidRPr="004513DA" w:rsidRDefault="000F6C48" w:rsidP="00870C09">
            <w:pPr>
              <w:rPr>
                <w:rFonts w:ascii="Garamond" w:eastAsia="Calibri" w:hAnsi="Garamond" w:cs="Arial"/>
                <w:sz w:val="24"/>
                <w:szCs w:val="24"/>
              </w:rPr>
            </w:pPr>
            <w:r w:rsidRPr="004513DA">
              <w:rPr>
                <w:rFonts w:ascii="Garamond" w:eastAsia="Calibri" w:hAnsi="Garamond" w:cs="Arial"/>
                <w:sz w:val="24"/>
                <w:szCs w:val="24"/>
              </w:rPr>
              <w:t>Gestione beni mobili del CREA</w:t>
            </w:r>
          </w:p>
        </w:tc>
        <w:tc>
          <w:tcPr>
            <w:tcW w:w="2409" w:type="dxa"/>
            <w:tcBorders>
              <w:top w:val="single" w:sz="4" w:space="0" w:color="auto"/>
              <w:left w:val="single" w:sz="4" w:space="0" w:color="auto"/>
              <w:right w:val="single" w:sz="4" w:space="0" w:color="auto"/>
            </w:tcBorders>
            <w:vAlign w:val="center"/>
          </w:tcPr>
          <w:p w14:paraId="2F59C1EF" w14:textId="7558A532" w:rsidR="000F6C48" w:rsidRPr="004513DA" w:rsidRDefault="00A34709" w:rsidP="00870C09">
            <w:pPr>
              <w:rPr>
                <w:rFonts w:ascii="Garamond" w:eastAsia="Calibri" w:hAnsi="Garamond" w:cs="Arial"/>
                <w:sz w:val="24"/>
                <w:szCs w:val="24"/>
              </w:rPr>
            </w:pPr>
            <w:r w:rsidRPr="004513DA">
              <w:rPr>
                <w:rFonts w:ascii="Garamond" w:eastAsia="Calibri" w:hAnsi="Garamond" w:cs="Arial"/>
                <w:sz w:val="24"/>
                <w:szCs w:val="24"/>
              </w:rPr>
              <w:t>Gestione dell'inventario dei beni mobili del Centro</w:t>
            </w:r>
          </w:p>
        </w:tc>
        <w:tc>
          <w:tcPr>
            <w:tcW w:w="1418" w:type="dxa"/>
            <w:tcBorders>
              <w:top w:val="single" w:sz="4" w:space="0" w:color="auto"/>
              <w:left w:val="single" w:sz="4" w:space="0" w:color="auto"/>
              <w:right w:val="single" w:sz="4" w:space="0" w:color="auto"/>
            </w:tcBorders>
            <w:vAlign w:val="center"/>
          </w:tcPr>
          <w:p w14:paraId="234AEA59" w14:textId="2A2FCBF8" w:rsidR="000F6C48" w:rsidRPr="004513DA" w:rsidRDefault="001010FF" w:rsidP="00870C09">
            <w:pPr>
              <w:spacing w:after="200" w:line="276" w:lineRule="auto"/>
              <w:jc w:val="center"/>
              <w:rPr>
                <w:rFonts w:ascii="Garamond" w:eastAsia="Calibri" w:hAnsi="Garamond" w:cs="Arial"/>
                <w:sz w:val="24"/>
                <w:szCs w:val="24"/>
              </w:rPr>
            </w:pPr>
            <w:r w:rsidRPr="004513DA">
              <w:rPr>
                <w:rFonts w:ascii="Garamond" w:eastAsia="Calibri" w:hAnsi="Garamond" w:cs="Arial"/>
                <w:sz w:val="24"/>
                <w:szCs w:val="24"/>
              </w:rPr>
              <w:t>Rischio basso</w:t>
            </w:r>
          </w:p>
        </w:tc>
        <w:tc>
          <w:tcPr>
            <w:tcW w:w="2268" w:type="dxa"/>
            <w:tcBorders>
              <w:top w:val="single" w:sz="4" w:space="0" w:color="auto"/>
              <w:left w:val="single" w:sz="4" w:space="0" w:color="auto"/>
              <w:right w:val="single" w:sz="4" w:space="0" w:color="auto"/>
            </w:tcBorders>
            <w:vAlign w:val="center"/>
          </w:tcPr>
          <w:p w14:paraId="0C0D2031" w14:textId="35B9186D" w:rsidR="000F6C48" w:rsidRPr="004513DA" w:rsidRDefault="001010FF" w:rsidP="00870C09">
            <w:pPr>
              <w:spacing w:after="200" w:line="276" w:lineRule="auto"/>
              <w:rPr>
                <w:rFonts w:ascii="Garamond" w:eastAsia="Calibri" w:hAnsi="Garamond" w:cs="Arial"/>
                <w:sz w:val="24"/>
                <w:szCs w:val="24"/>
              </w:rPr>
            </w:pPr>
            <w:r w:rsidRPr="004513DA">
              <w:rPr>
                <w:rFonts w:ascii="Garamond" w:eastAsia="Calibri" w:hAnsi="Garamond" w:cs="Arial"/>
                <w:sz w:val="24"/>
                <w:szCs w:val="24"/>
              </w:rPr>
              <w:t>Applicazione della normativa vigente, del Regolamento dei beni mobili dell’Ente e della procedura informatizzata</w:t>
            </w:r>
          </w:p>
        </w:tc>
        <w:tc>
          <w:tcPr>
            <w:tcW w:w="1842" w:type="dxa"/>
            <w:tcBorders>
              <w:top w:val="single" w:sz="4" w:space="0" w:color="auto"/>
              <w:left w:val="single" w:sz="4" w:space="0" w:color="auto"/>
              <w:right w:val="single" w:sz="4" w:space="0" w:color="auto"/>
            </w:tcBorders>
            <w:vAlign w:val="center"/>
          </w:tcPr>
          <w:p w14:paraId="6E98B2B1" w14:textId="02F1A29D" w:rsidR="000F6C48" w:rsidRPr="004513DA" w:rsidRDefault="00DF4E0D" w:rsidP="00870C09">
            <w:pPr>
              <w:spacing w:after="200" w:line="276" w:lineRule="auto"/>
              <w:jc w:val="center"/>
              <w:rPr>
                <w:rFonts w:ascii="Garamond" w:eastAsia="Calibri" w:hAnsi="Garamond" w:cs="Arial"/>
                <w:sz w:val="24"/>
                <w:szCs w:val="24"/>
              </w:rPr>
            </w:pPr>
            <w:r w:rsidRPr="004513DA">
              <w:rPr>
                <w:rFonts w:ascii="Garamond" w:eastAsia="Calibri" w:hAnsi="Garamond" w:cs="Arial"/>
                <w:sz w:val="24"/>
                <w:szCs w:val="24"/>
              </w:rPr>
              <w:t>adottata</w:t>
            </w:r>
          </w:p>
        </w:tc>
      </w:tr>
      <w:tr w:rsidR="00941B59" w:rsidRPr="004513DA" w14:paraId="020D5872" w14:textId="77777777" w:rsidTr="00870C09">
        <w:trPr>
          <w:gridAfter w:val="1"/>
          <w:wAfter w:w="142" w:type="dxa"/>
          <w:trHeight w:val="1711"/>
        </w:trPr>
        <w:tc>
          <w:tcPr>
            <w:tcW w:w="1555" w:type="dxa"/>
            <w:tcBorders>
              <w:top w:val="single" w:sz="4" w:space="0" w:color="auto"/>
              <w:left w:val="single" w:sz="4" w:space="0" w:color="auto"/>
              <w:right w:val="single" w:sz="4" w:space="0" w:color="auto"/>
            </w:tcBorders>
            <w:vAlign w:val="center"/>
          </w:tcPr>
          <w:p w14:paraId="18CD9E7D" w14:textId="2023A9C5" w:rsidR="00941B59" w:rsidRPr="004513DA" w:rsidRDefault="001369E3" w:rsidP="00870C09">
            <w:pPr>
              <w:rPr>
                <w:rFonts w:ascii="Garamond" w:eastAsia="Calibri" w:hAnsi="Garamond" w:cs="Arial"/>
                <w:sz w:val="24"/>
                <w:szCs w:val="24"/>
              </w:rPr>
            </w:pPr>
            <w:r w:rsidRPr="004513DA">
              <w:rPr>
                <w:rFonts w:ascii="Garamond" w:eastAsia="Calibri" w:hAnsi="Garamond" w:cs="Arial"/>
                <w:sz w:val="24"/>
                <w:szCs w:val="24"/>
              </w:rPr>
              <w:t>Progettazione e individuazione delle procedure di acquisizione della stazione appaltante</w:t>
            </w:r>
          </w:p>
        </w:tc>
        <w:tc>
          <w:tcPr>
            <w:tcW w:w="2409" w:type="dxa"/>
            <w:tcBorders>
              <w:top w:val="single" w:sz="4" w:space="0" w:color="auto"/>
              <w:left w:val="single" w:sz="4" w:space="0" w:color="auto"/>
              <w:bottom w:val="single" w:sz="4" w:space="0" w:color="auto"/>
              <w:right w:val="single" w:sz="4" w:space="0" w:color="auto"/>
            </w:tcBorders>
            <w:vAlign w:val="center"/>
          </w:tcPr>
          <w:p w14:paraId="2345EE4A" w14:textId="4361FBDD" w:rsidR="00941B59" w:rsidRPr="004513DA" w:rsidRDefault="008B2D74" w:rsidP="00870C09">
            <w:pPr>
              <w:rPr>
                <w:rFonts w:ascii="Garamond" w:eastAsia="Calibri" w:hAnsi="Garamond" w:cs="Arial"/>
                <w:sz w:val="24"/>
                <w:szCs w:val="24"/>
              </w:rPr>
            </w:pPr>
            <w:r w:rsidRPr="004513DA">
              <w:rPr>
                <w:rFonts w:ascii="Garamond" w:eastAsia="Calibri" w:hAnsi="Garamond" w:cs="Arial"/>
                <w:sz w:val="24"/>
                <w:szCs w:val="24"/>
              </w:rPr>
              <w:t>Progettazione e individuazione delle procedure di acquisizione in conformità alla normativa vigente</w:t>
            </w:r>
          </w:p>
        </w:tc>
        <w:tc>
          <w:tcPr>
            <w:tcW w:w="1418" w:type="dxa"/>
            <w:tcBorders>
              <w:top w:val="single" w:sz="4" w:space="0" w:color="auto"/>
              <w:left w:val="single" w:sz="4" w:space="0" w:color="auto"/>
              <w:bottom w:val="single" w:sz="4" w:space="0" w:color="auto"/>
              <w:right w:val="single" w:sz="4" w:space="0" w:color="auto"/>
            </w:tcBorders>
            <w:vAlign w:val="center"/>
          </w:tcPr>
          <w:p w14:paraId="616F830A" w14:textId="24A46EC0" w:rsidR="00941B59" w:rsidRPr="004513DA" w:rsidRDefault="008B2D74" w:rsidP="00870C09">
            <w:pPr>
              <w:spacing w:after="200" w:line="276" w:lineRule="auto"/>
              <w:jc w:val="center"/>
              <w:rPr>
                <w:rFonts w:ascii="Garamond" w:eastAsia="Calibri" w:hAnsi="Garamond" w:cs="Arial"/>
                <w:sz w:val="24"/>
                <w:szCs w:val="24"/>
              </w:rPr>
            </w:pPr>
            <w:r w:rsidRPr="004513DA">
              <w:rPr>
                <w:rFonts w:ascii="Garamond" w:eastAsia="Calibri" w:hAnsi="Garamond" w:cs="Arial"/>
                <w:sz w:val="24"/>
                <w:szCs w:val="24"/>
              </w:rPr>
              <w:t>Rischio alto</w:t>
            </w:r>
          </w:p>
        </w:tc>
        <w:tc>
          <w:tcPr>
            <w:tcW w:w="2268" w:type="dxa"/>
            <w:tcBorders>
              <w:top w:val="single" w:sz="4" w:space="0" w:color="auto"/>
              <w:left w:val="single" w:sz="4" w:space="0" w:color="auto"/>
              <w:bottom w:val="single" w:sz="4" w:space="0" w:color="auto"/>
              <w:right w:val="single" w:sz="4" w:space="0" w:color="auto"/>
            </w:tcBorders>
            <w:vAlign w:val="center"/>
          </w:tcPr>
          <w:p w14:paraId="0E02F0C6" w14:textId="7286C553" w:rsidR="00941B59" w:rsidRPr="004513DA" w:rsidRDefault="00FD6396" w:rsidP="00870C09">
            <w:pPr>
              <w:spacing w:after="200" w:line="276" w:lineRule="auto"/>
              <w:rPr>
                <w:rFonts w:ascii="Garamond" w:eastAsia="Calibri" w:hAnsi="Garamond" w:cs="Arial"/>
                <w:sz w:val="24"/>
                <w:szCs w:val="24"/>
              </w:rPr>
            </w:pPr>
            <w:r w:rsidRPr="004513DA">
              <w:rPr>
                <w:rFonts w:ascii="Garamond" w:eastAsia="Calibri" w:hAnsi="Garamond" w:cs="Arial"/>
                <w:sz w:val="24"/>
                <w:szCs w:val="24"/>
              </w:rPr>
              <w:t>Applicazione della normativa generale in materia di contratti pubblici di affidamento di s. f. l.</w:t>
            </w:r>
          </w:p>
        </w:tc>
        <w:tc>
          <w:tcPr>
            <w:tcW w:w="1842" w:type="dxa"/>
            <w:tcBorders>
              <w:top w:val="single" w:sz="4" w:space="0" w:color="auto"/>
              <w:left w:val="single" w:sz="4" w:space="0" w:color="auto"/>
              <w:bottom w:val="single" w:sz="4" w:space="0" w:color="auto"/>
              <w:right w:val="single" w:sz="4" w:space="0" w:color="auto"/>
            </w:tcBorders>
            <w:vAlign w:val="center"/>
          </w:tcPr>
          <w:p w14:paraId="21DBA31D" w14:textId="22951CC7" w:rsidR="00941B59" w:rsidRPr="004513DA" w:rsidRDefault="00526CDE" w:rsidP="00870C09">
            <w:pPr>
              <w:spacing w:after="200" w:line="276" w:lineRule="auto"/>
              <w:jc w:val="center"/>
              <w:rPr>
                <w:rFonts w:ascii="Garamond" w:eastAsia="Calibri" w:hAnsi="Garamond" w:cs="Arial"/>
                <w:sz w:val="24"/>
                <w:szCs w:val="24"/>
              </w:rPr>
            </w:pPr>
            <w:r w:rsidRPr="004513DA">
              <w:rPr>
                <w:rFonts w:ascii="Garamond" w:eastAsia="Calibri" w:hAnsi="Garamond" w:cs="Arial"/>
                <w:sz w:val="24"/>
                <w:szCs w:val="24"/>
              </w:rPr>
              <w:t>adottata</w:t>
            </w:r>
          </w:p>
        </w:tc>
      </w:tr>
      <w:tr w:rsidR="00647804" w:rsidRPr="004513DA" w14:paraId="6AE66037" w14:textId="77777777" w:rsidTr="00870C09">
        <w:trPr>
          <w:gridAfter w:val="1"/>
          <w:wAfter w:w="142" w:type="dxa"/>
          <w:trHeight w:val="838"/>
        </w:trPr>
        <w:tc>
          <w:tcPr>
            <w:tcW w:w="1555" w:type="dxa"/>
            <w:vMerge w:val="restart"/>
            <w:tcBorders>
              <w:left w:val="single" w:sz="4" w:space="0" w:color="auto"/>
              <w:right w:val="single" w:sz="4" w:space="0" w:color="auto"/>
            </w:tcBorders>
          </w:tcPr>
          <w:p w14:paraId="5506B6C6" w14:textId="5446AB61" w:rsidR="00647804" w:rsidRPr="004513DA" w:rsidRDefault="00647804" w:rsidP="00870C09">
            <w:pPr>
              <w:rPr>
                <w:rFonts w:ascii="Garamond" w:eastAsia="Calibri" w:hAnsi="Garamond" w:cs="Arial"/>
                <w:sz w:val="24"/>
                <w:szCs w:val="24"/>
              </w:rPr>
            </w:pPr>
            <w:r w:rsidRPr="004513DA">
              <w:rPr>
                <w:rFonts w:ascii="Garamond" w:eastAsia="Calibri" w:hAnsi="Garamond" w:cs="Arial"/>
                <w:sz w:val="24"/>
                <w:szCs w:val="24"/>
              </w:rPr>
              <w:t>Acquisto di lavori, servizi e forniture</w:t>
            </w:r>
          </w:p>
        </w:tc>
        <w:tc>
          <w:tcPr>
            <w:tcW w:w="2409" w:type="dxa"/>
            <w:tcBorders>
              <w:top w:val="single" w:sz="4" w:space="0" w:color="auto"/>
              <w:left w:val="single" w:sz="4" w:space="0" w:color="auto"/>
              <w:bottom w:val="single" w:sz="4" w:space="0" w:color="auto"/>
              <w:right w:val="single" w:sz="4" w:space="0" w:color="auto"/>
            </w:tcBorders>
            <w:vAlign w:val="center"/>
          </w:tcPr>
          <w:p w14:paraId="7D9EADF5" w14:textId="4522688F" w:rsidR="00647804" w:rsidRPr="004513DA" w:rsidRDefault="00647804" w:rsidP="00870C09">
            <w:pPr>
              <w:rPr>
                <w:rFonts w:ascii="Garamond" w:eastAsia="Calibri" w:hAnsi="Garamond" w:cs="Arial"/>
                <w:sz w:val="24"/>
                <w:szCs w:val="24"/>
              </w:rPr>
            </w:pPr>
            <w:r w:rsidRPr="004513DA">
              <w:rPr>
                <w:rFonts w:ascii="Garamond" w:eastAsia="Calibri" w:hAnsi="Garamond" w:cs="Arial"/>
                <w:sz w:val="24"/>
                <w:szCs w:val="24"/>
              </w:rPr>
              <w:t>Affidamento servizi, forniture e lavori di importo fino a € 5.000.</w:t>
            </w:r>
          </w:p>
        </w:tc>
        <w:tc>
          <w:tcPr>
            <w:tcW w:w="1418" w:type="dxa"/>
            <w:tcBorders>
              <w:top w:val="single" w:sz="4" w:space="0" w:color="auto"/>
              <w:left w:val="single" w:sz="4" w:space="0" w:color="auto"/>
              <w:bottom w:val="single" w:sz="4" w:space="0" w:color="auto"/>
              <w:right w:val="single" w:sz="4" w:space="0" w:color="auto"/>
            </w:tcBorders>
            <w:vAlign w:val="center"/>
          </w:tcPr>
          <w:p w14:paraId="38214D0D" w14:textId="63F7BCAE" w:rsidR="00647804" w:rsidRPr="004513DA" w:rsidRDefault="00647804" w:rsidP="00870C09">
            <w:pPr>
              <w:spacing w:after="200" w:line="276" w:lineRule="auto"/>
              <w:jc w:val="center"/>
              <w:rPr>
                <w:rFonts w:ascii="Garamond" w:eastAsia="Calibri" w:hAnsi="Garamond" w:cs="Arial"/>
                <w:sz w:val="24"/>
                <w:szCs w:val="24"/>
              </w:rPr>
            </w:pPr>
            <w:r w:rsidRPr="004513DA">
              <w:rPr>
                <w:rFonts w:ascii="Garamond" w:eastAsia="Calibri" w:hAnsi="Garamond" w:cs="Arial"/>
                <w:sz w:val="24"/>
                <w:szCs w:val="24"/>
              </w:rPr>
              <w:t>Rischio molto alto</w:t>
            </w:r>
          </w:p>
        </w:tc>
        <w:tc>
          <w:tcPr>
            <w:tcW w:w="2268" w:type="dxa"/>
            <w:tcBorders>
              <w:top w:val="single" w:sz="4" w:space="0" w:color="auto"/>
              <w:left w:val="single" w:sz="4" w:space="0" w:color="auto"/>
              <w:bottom w:val="single" w:sz="4" w:space="0" w:color="auto"/>
              <w:right w:val="single" w:sz="4" w:space="0" w:color="auto"/>
            </w:tcBorders>
            <w:vAlign w:val="center"/>
          </w:tcPr>
          <w:p w14:paraId="7095CE53" w14:textId="58F65F7A" w:rsidR="00647804" w:rsidRPr="004513DA" w:rsidRDefault="00647804" w:rsidP="00870C09">
            <w:pPr>
              <w:spacing w:after="200" w:line="276" w:lineRule="auto"/>
              <w:rPr>
                <w:rFonts w:ascii="Garamond" w:eastAsia="Calibri" w:hAnsi="Garamond" w:cs="Arial"/>
                <w:sz w:val="24"/>
                <w:szCs w:val="24"/>
              </w:rPr>
            </w:pPr>
            <w:r w:rsidRPr="004513DA">
              <w:rPr>
                <w:rFonts w:ascii="Garamond" w:eastAsia="Calibri" w:hAnsi="Garamond" w:cs="Arial"/>
                <w:sz w:val="24"/>
                <w:szCs w:val="24"/>
              </w:rPr>
              <w:t>Applicazione della normativa generale in materia di contratti pubblici di affidamento di s. f. l.</w:t>
            </w:r>
          </w:p>
        </w:tc>
        <w:tc>
          <w:tcPr>
            <w:tcW w:w="1842" w:type="dxa"/>
            <w:tcBorders>
              <w:top w:val="single" w:sz="4" w:space="0" w:color="auto"/>
              <w:left w:val="single" w:sz="4" w:space="0" w:color="auto"/>
              <w:bottom w:val="single" w:sz="4" w:space="0" w:color="auto"/>
              <w:right w:val="single" w:sz="4" w:space="0" w:color="auto"/>
            </w:tcBorders>
            <w:vAlign w:val="center"/>
          </w:tcPr>
          <w:p w14:paraId="3E1947DB" w14:textId="6E9B8D90" w:rsidR="00647804" w:rsidRPr="004513DA" w:rsidRDefault="00526CDE" w:rsidP="00870C09">
            <w:pPr>
              <w:spacing w:after="200" w:line="276" w:lineRule="auto"/>
              <w:jc w:val="center"/>
              <w:rPr>
                <w:rFonts w:ascii="Garamond" w:eastAsia="Calibri" w:hAnsi="Garamond" w:cs="Arial"/>
                <w:sz w:val="24"/>
                <w:szCs w:val="24"/>
              </w:rPr>
            </w:pPr>
            <w:r w:rsidRPr="004513DA">
              <w:rPr>
                <w:rFonts w:ascii="Garamond" w:eastAsia="Calibri" w:hAnsi="Garamond" w:cs="Arial"/>
                <w:sz w:val="24"/>
                <w:szCs w:val="24"/>
              </w:rPr>
              <w:t>adottata</w:t>
            </w:r>
          </w:p>
        </w:tc>
      </w:tr>
      <w:tr w:rsidR="00647804" w:rsidRPr="004513DA" w14:paraId="0D0DF25A" w14:textId="77777777" w:rsidTr="00870C09">
        <w:trPr>
          <w:gridAfter w:val="1"/>
          <w:wAfter w:w="142" w:type="dxa"/>
          <w:trHeight w:val="898"/>
        </w:trPr>
        <w:tc>
          <w:tcPr>
            <w:tcW w:w="1555" w:type="dxa"/>
            <w:vMerge/>
            <w:tcBorders>
              <w:left w:val="single" w:sz="4" w:space="0" w:color="auto"/>
              <w:right w:val="single" w:sz="4" w:space="0" w:color="auto"/>
            </w:tcBorders>
          </w:tcPr>
          <w:p w14:paraId="23061F02" w14:textId="77777777" w:rsidR="00647804" w:rsidRPr="004513DA" w:rsidRDefault="00647804" w:rsidP="00870C09">
            <w:pPr>
              <w:rPr>
                <w:rFonts w:ascii="Garamond" w:eastAsia="Calibri" w:hAnsi="Garamond" w:cs="Arial"/>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14:paraId="3CE06179" w14:textId="4028A812" w:rsidR="00647804" w:rsidRPr="004513DA" w:rsidRDefault="00647804" w:rsidP="00870C09">
            <w:pPr>
              <w:rPr>
                <w:rFonts w:ascii="Garamond" w:eastAsia="Calibri" w:hAnsi="Garamond" w:cs="Arial"/>
                <w:sz w:val="24"/>
                <w:szCs w:val="24"/>
              </w:rPr>
            </w:pPr>
            <w:r w:rsidRPr="004513DA">
              <w:rPr>
                <w:rFonts w:ascii="Garamond" w:eastAsia="Calibri" w:hAnsi="Garamond" w:cs="Arial"/>
                <w:sz w:val="24"/>
                <w:szCs w:val="24"/>
              </w:rPr>
              <w:t>Affidamento di servizi e forniture di importo pari o superiore € 5.000,00 e fino  a 140.000 euro e di lavori di importo pari o superiore € 5.000,00 e fino a € 150.000,00</w:t>
            </w:r>
          </w:p>
        </w:tc>
        <w:tc>
          <w:tcPr>
            <w:tcW w:w="1418" w:type="dxa"/>
            <w:tcBorders>
              <w:top w:val="single" w:sz="4" w:space="0" w:color="auto"/>
              <w:left w:val="single" w:sz="4" w:space="0" w:color="auto"/>
              <w:bottom w:val="single" w:sz="4" w:space="0" w:color="auto"/>
              <w:right w:val="single" w:sz="4" w:space="0" w:color="auto"/>
            </w:tcBorders>
            <w:vAlign w:val="center"/>
          </w:tcPr>
          <w:p w14:paraId="6271D087" w14:textId="36515E35" w:rsidR="00647804" w:rsidRPr="004513DA" w:rsidRDefault="00647804" w:rsidP="00870C09">
            <w:pPr>
              <w:spacing w:after="200" w:line="276" w:lineRule="auto"/>
              <w:jc w:val="center"/>
              <w:rPr>
                <w:rFonts w:ascii="Garamond" w:eastAsia="Calibri" w:hAnsi="Garamond" w:cs="Arial"/>
                <w:sz w:val="24"/>
                <w:szCs w:val="24"/>
              </w:rPr>
            </w:pPr>
            <w:r w:rsidRPr="004513DA">
              <w:rPr>
                <w:rFonts w:ascii="Garamond" w:eastAsia="Calibri" w:hAnsi="Garamond" w:cs="Arial"/>
                <w:sz w:val="24"/>
                <w:szCs w:val="24"/>
              </w:rPr>
              <w:t>Rischio molto alto</w:t>
            </w:r>
          </w:p>
        </w:tc>
        <w:tc>
          <w:tcPr>
            <w:tcW w:w="2268" w:type="dxa"/>
            <w:tcBorders>
              <w:top w:val="single" w:sz="4" w:space="0" w:color="auto"/>
              <w:left w:val="single" w:sz="4" w:space="0" w:color="auto"/>
              <w:bottom w:val="single" w:sz="4" w:space="0" w:color="auto"/>
              <w:right w:val="single" w:sz="4" w:space="0" w:color="auto"/>
            </w:tcBorders>
            <w:vAlign w:val="center"/>
          </w:tcPr>
          <w:p w14:paraId="4359BD89" w14:textId="6B8C517D" w:rsidR="00647804" w:rsidRPr="004513DA" w:rsidRDefault="00647804" w:rsidP="00870C09">
            <w:pPr>
              <w:spacing w:after="200" w:line="276" w:lineRule="auto"/>
              <w:rPr>
                <w:rFonts w:ascii="Garamond" w:eastAsia="Calibri" w:hAnsi="Garamond" w:cs="Arial"/>
                <w:sz w:val="24"/>
                <w:szCs w:val="24"/>
              </w:rPr>
            </w:pPr>
            <w:r w:rsidRPr="004513DA">
              <w:rPr>
                <w:rFonts w:ascii="Garamond" w:eastAsia="Calibri" w:hAnsi="Garamond" w:cs="Arial"/>
                <w:sz w:val="24"/>
                <w:szCs w:val="24"/>
              </w:rPr>
              <w:t>Applicazione della normativa generale in materia di contratti pubblici di affidamento di s. f. l.</w:t>
            </w:r>
          </w:p>
        </w:tc>
        <w:tc>
          <w:tcPr>
            <w:tcW w:w="1842" w:type="dxa"/>
            <w:tcBorders>
              <w:top w:val="single" w:sz="4" w:space="0" w:color="auto"/>
              <w:left w:val="single" w:sz="4" w:space="0" w:color="auto"/>
              <w:bottom w:val="single" w:sz="4" w:space="0" w:color="auto"/>
              <w:right w:val="single" w:sz="4" w:space="0" w:color="auto"/>
            </w:tcBorders>
            <w:vAlign w:val="center"/>
          </w:tcPr>
          <w:p w14:paraId="64C8F939" w14:textId="7DDE15BC" w:rsidR="00647804" w:rsidRPr="004513DA" w:rsidRDefault="00D274E6" w:rsidP="00870C09">
            <w:pPr>
              <w:spacing w:after="200" w:line="276" w:lineRule="auto"/>
              <w:jc w:val="center"/>
              <w:rPr>
                <w:rFonts w:ascii="Garamond" w:eastAsia="Calibri" w:hAnsi="Garamond" w:cs="Arial"/>
                <w:sz w:val="24"/>
                <w:szCs w:val="24"/>
              </w:rPr>
            </w:pPr>
            <w:r w:rsidRPr="004513DA">
              <w:rPr>
                <w:rFonts w:ascii="Garamond" w:eastAsia="Calibri" w:hAnsi="Garamond" w:cs="Arial"/>
                <w:sz w:val="24"/>
                <w:szCs w:val="24"/>
              </w:rPr>
              <w:t>adottata</w:t>
            </w:r>
          </w:p>
        </w:tc>
      </w:tr>
      <w:tr w:rsidR="00647804" w:rsidRPr="004513DA" w14:paraId="74C61FA3" w14:textId="77777777" w:rsidTr="00870C09">
        <w:trPr>
          <w:gridAfter w:val="1"/>
          <w:wAfter w:w="142" w:type="dxa"/>
          <w:trHeight w:val="1250"/>
        </w:trPr>
        <w:tc>
          <w:tcPr>
            <w:tcW w:w="1555" w:type="dxa"/>
            <w:vMerge/>
            <w:tcBorders>
              <w:left w:val="single" w:sz="4" w:space="0" w:color="auto"/>
              <w:right w:val="single" w:sz="4" w:space="0" w:color="auto"/>
            </w:tcBorders>
          </w:tcPr>
          <w:p w14:paraId="6B1716B9" w14:textId="36C031FE" w:rsidR="00647804" w:rsidRPr="004513DA" w:rsidRDefault="00647804" w:rsidP="00870C09">
            <w:pPr>
              <w:spacing w:after="200" w:line="276" w:lineRule="auto"/>
              <w:rPr>
                <w:rFonts w:ascii="Garamond" w:eastAsia="Calibri" w:hAnsi="Garamond" w:cs="Arial"/>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14:paraId="6FCFA19A" w14:textId="1F91C059" w:rsidR="00647804" w:rsidRPr="004513DA" w:rsidRDefault="00647804" w:rsidP="00870C09">
            <w:pPr>
              <w:spacing w:after="200" w:line="276" w:lineRule="auto"/>
              <w:rPr>
                <w:rFonts w:ascii="Garamond" w:eastAsia="Calibri" w:hAnsi="Garamond" w:cs="Arial"/>
                <w:sz w:val="24"/>
                <w:szCs w:val="24"/>
              </w:rPr>
            </w:pPr>
            <w:r w:rsidRPr="004513DA">
              <w:rPr>
                <w:rFonts w:ascii="Garamond" w:eastAsia="Calibri" w:hAnsi="Garamond" w:cs="Arial"/>
                <w:sz w:val="24"/>
                <w:szCs w:val="24"/>
              </w:rPr>
              <w:t>Affidamenti di importo fino a 300.000 euro</w:t>
            </w:r>
          </w:p>
        </w:tc>
        <w:tc>
          <w:tcPr>
            <w:tcW w:w="1418" w:type="dxa"/>
            <w:tcBorders>
              <w:top w:val="single" w:sz="4" w:space="0" w:color="auto"/>
              <w:left w:val="single" w:sz="4" w:space="0" w:color="auto"/>
              <w:bottom w:val="single" w:sz="4" w:space="0" w:color="auto"/>
              <w:right w:val="single" w:sz="4" w:space="0" w:color="auto"/>
            </w:tcBorders>
            <w:vAlign w:val="center"/>
          </w:tcPr>
          <w:p w14:paraId="04A0B536" w14:textId="7768A1E0" w:rsidR="00647804" w:rsidRPr="004513DA" w:rsidRDefault="00647804" w:rsidP="00870C09">
            <w:pPr>
              <w:spacing w:after="200" w:line="276" w:lineRule="auto"/>
              <w:rPr>
                <w:rFonts w:ascii="Garamond" w:eastAsia="Calibri" w:hAnsi="Garamond" w:cs="Arial"/>
                <w:sz w:val="24"/>
                <w:szCs w:val="24"/>
              </w:rPr>
            </w:pPr>
            <w:r w:rsidRPr="004513DA">
              <w:rPr>
                <w:rFonts w:ascii="Garamond" w:eastAsia="Calibri" w:hAnsi="Garamond" w:cs="Arial"/>
                <w:sz w:val="24"/>
                <w:szCs w:val="24"/>
              </w:rPr>
              <w:t>Rischio alto</w:t>
            </w:r>
          </w:p>
        </w:tc>
        <w:tc>
          <w:tcPr>
            <w:tcW w:w="2268" w:type="dxa"/>
            <w:tcBorders>
              <w:top w:val="single" w:sz="4" w:space="0" w:color="auto"/>
              <w:left w:val="single" w:sz="4" w:space="0" w:color="auto"/>
              <w:bottom w:val="single" w:sz="4" w:space="0" w:color="auto"/>
              <w:right w:val="single" w:sz="4" w:space="0" w:color="auto"/>
            </w:tcBorders>
            <w:vAlign w:val="center"/>
          </w:tcPr>
          <w:p w14:paraId="24548D85" w14:textId="0D58B7D9" w:rsidR="00647804" w:rsidRPr="004513DA" w:rsidRDefault="00647804" w:rsidP="00870C09">
            <w:pPr>
              <w:spacing w:after="200" w:line="276" w:lineRule="auto"/>
              <w:rPr>
                <w:rFonts w:ascii="Garamond" w:eastAsia="Calibri" w:hAnsi="Garamond" w:cs="Arial"/>
                <w:sz w:val="24"/>
                <w:szCs w:val="24"/>
              </w:rPr>
            </w:pPr>
            <w:r w:rsidRPr="004513DA">
              <w:rPr>
                <w:rFonts w:ascii="Garamond" w:eastAsia="Calibri" w:hAnsi="Garamond" w:cs="Arial"/>
                <w:sz w:val="24"/>
                <w:szCs w:val="24"/>
              </w:rPr>
              <w:t>Applicazione della normativa generale in materia di contratti pubblici di affidamento di s. f. l.</w:t>
            </w:r>
          </w:p>
        </w:tc>
        <w:tc>
          <w:tcPr>
            <w:tcW w:w="1842" w:type="dxa"/>
            <w:tcBorders>
              <w:top w:val="single" w:sz="4" w:space="0" w:color="auto"/>
              <w:left w:val="single" w:sz="4" w:space="0" w:color="auto"/>
              <w:bottom w:val="single" w:sz="4" w:space="0" w:color="auto"/>
              <w:right w:val="single" w:sz="4" w:space="0" w:color="auto"/>
            </w:tcBorders>
            <w:vAlign w:val="center"/>
          </w:tcPr>
          <w:p w14:paraId="5AC5E3EF" w14:textId="383AEBFB" w:rsidR="00647804" w:rsidRPr="004513DA" w:rsidRDefault="00D274E6" w:rsidP="00870C09">
            <w:pPr>
              <w:spacing w:after="200" w:line="276" w:lineRule="auto"/>
              <w:jc w:val="center"/>
              <w:rPr>
                <w:rFonts w:ascii="Garamond" w:eastAsia="Calibri" w:hAnsi="Garamond" w:cs="Arial"/>
                <w:sz w:val="24"/>
                <w:szCs w:val="24"/>
              </w:rPr>
            </w:pPr>
            <w:r w:rsidRPr="004513DA">
              <w:rPr>
                <w:rFonts w:ascii="Garamond" w:eastAsia="Calibri" w:hAnsi="Garamond" w:cs="Arial"/>
                <w:sz w:val="24"/>
                <w:szCs w:val="24"/>
              </w:rPr>
              <w:t>adottata</w:t>
            </w:r>
          </w:p>
        </w:tc>
      </w:tr>
      <w:tr w:rsidR="00647804" w:rsidRPr="004513DA" w14:paraId="23FEA0CF" w14:textId="77777777" w:rsidTr="00870C09">
        <w:trPr>
          <w:gridAfter w:val="1"/>
          <w:wAfter w:w="142" w:type="dxa"/>
          <w:trHeight w:val="1134"/>
        </w:trPr>
        <w:tc>
          <w:tcPr>
            <w:tcW w:w="1555" w:type="dxa"/>
            <w:vMerge/>
            <w:tcBorders>
              <w:left w:val="single" w:sz="4" w:space="0" w:color="auto"/>
              <w:bottom w:val="single" w:sz="4" w:space="0" w:color="auto"/>
              <w:right w:val="single" w:sz="4" w:space="0" w:color="auto"/>
            </w:tcBorders>
          </w:tcPr>
          <w:p w14:paraId="35484A4D" w14:textId="77777777" w:rsidR="00647804" w:rsidRPr="004513DA" w:rsidRDefault="00647804" w:rsidP="00870C09">
            <w:pPr>
              <w:spacing w:after="200" w:line="276" w:lineRule="auto"/>
              <w:rPr>
                <w:rFonts w:ascii="Garamond" w:eastAsia="Calibri" w:hAnsi="Garamond" w:cs="Arial"/>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14:paraId="31574D02" w14:textId="0665A444" w:rsidR="00647804" w:rsidRPr="004513DA" w:rsidRDefault="00DD5A22" w:rsidP="00870C09">
            <w:pPr>
              <w:spacing w:after="200" w:line="276" w:lineRule="auto"/>
              <w:rPr>
                <w:rFonts w:ascii="Garamond" w:eastAsia="Calibri" w:hAnsi="Garamond" w:cs="Arial"/>
                <w:sz w:val="24"/>
                <w:szCs w:val="24"/>
              </w:rPr>
            </w:pPr>
            <w:r w:rsidRPr="004513DA">
              <w:rPr>
                <w:rFonts w:ascii="Garamond" w:eastAsia="Calibri" w:hAnsi="Garamond" w:cs="Arial"/>
                <w:sz w:val="24"/>
                <w:szCs w:val="24"/>
              </w:rPr>
              <w:t>Affidamenti nei casi di somma urgenza</w:t>
            </w:r>
          </w:p>
        </w:tc>
        <w:tc>
          <w:tcPr>
            <w:tcW w:w="1418" w:type="dxa"/>
            <w:tcBorders>
              <w:top w:val="single" w:sz="4" w:space="0" w:color="auto"/>
              <w:left w:val="single" w:sz="4" w:space="0" w:color="auto"/>
              <w:bottom w:val="single" w:sz="4" w:space="0" w:color="auto"/>
              <w:right w:val="single" w:sz="4" w:space="0" w:color="auto"/>
            </w:tcBorders>
            <w:vAlign w:val="center"/>
          </w:tcPr>
          <w:p w14:paraId="7D3201D1" w14:textId="373FFF6F" w:rsidR="00647804" w:rsidRPr="004513DA" w:rsidRDefault="00DD5A22" w:rsidP="00870C09">
            <w:pPr>
              <w:spacing w:after="200" w:line="276" w:lineRule="auto"/>
              <w:rPr>
                <w:rFonts w:ascii="Garamond" w:eastAsia="Calibri" w:hAnsi="Garamond" w:cs="Arial"/>
                <w:sz w:val="24"/>
                <w:szCs w:val="24"/>
              </w:rPr>
            </w:pPr>
            <w:r w:rsidRPr="004513DA">
              <w:rPr>
                <w:rFonts w:ascii="Garamond" w:eastAsia="Calibri" w:hAnsi="Garamond" w:cs="Arial"/>
                <w:sz w:val="24"/>
                <w:szCs w:val="24"/>
              </w:rPr>
              <w:t>Rischio alto</w:t>
            </w:r>
          </w:p>
        </w:tc>
        <w:tc>
          <w:tcPr>
            <w:tcW w:w="2268" w:type="dxa"/>
            <w:tcBorders>
              <w:top w:val="single" w:sz="4" w:space="0" w:color="auto"/>
              <w:left w:val="single" w:sz="4" w:space="0" w:color="auto"/>
              <w:bottom w:val="single" w:sz="4" w:space="0" w:color="auto"/>
              <w:right w:val="single" w:sz="4" w:space="0" w:color="auto"/>
            </w:tcBorders>
            <w:vAlign w:val="center"/>
          </w:tcPr>
          <w:p w14:paraId="027CA2B2" w14:textId="6ED5FBC1" w:rsidR="00647804" w:rsidRPr="004513DA" w:rsidRDefault="003354DF" w:rsidP="00870C09">
            <w:pPr>
              <w:spacing w:after="120" w:line="276" w:lineRule="auto"/>
              <w:rPr>
                <w:rFonts w:ascii="Garamond" w:eastAsia="Calibri" w:hAnsi="Garamond" w:cs="Arial"/>
                <w:sz w:val="24"/>
                <w:szCs w:val="24"/>
              </w:rPr>
            </w:pPr>
            <w:r w:rsidRPr="004513DA">
              <w:rPr>
                <w:rFonts w:ascii="Garamond" w:eastAsia="Calibri" w:hAnsi="Garamond" w:cs="Arial"/>
                <w:sz w:val="24"/>
                <w:szCs w:val="24"/>
              </w:rPr>
              <w:t>Controlli a campione sulla sussistenza dei presupposti di cui all’art.140 del Dlgs 36/2023</w:t>
            </w:r>
          </w:p>
        </w:tc>
        <w:tc>
          <w:tcPr>
            <w:tcW w:w="1842" w:type="dxa"/>
            <w:tcBorders>
              <w:top w:val="single" w:sz="4" w:space="0" w:color="auto"/>
              <w:left w:val="single" w:sz="4" w:space="0" w:color="auto"/>
              <w:bottom w:val="single" w:sz="4" w:space="0" w:color="auto"/>
              <w:right w:val="single" w:sz="4" w:space="0" w:color="auto"/>
            </w:tcBorders>
            <w:vAlign w:val="center"/>
          </w:tcPr>
          <w:p w14:paraId="027A2C35" w14:textId="2DFFBF8D" w:rsidR="00647804" w:rsidRPr="004513DA" w:rsidRDefault="00D274E6" w:rsidP="00870C09">
            <w:pPr>
              <w:spacing w:after="200" w:line="276" w:lineRule="auto"/>
              <w:jc w:val="center"/>
              <w:rPr>
                <w:rFonts w:ascii="Garamond" w:eastAsia="Calibri" w:hAnsi="Garamond" w:cs="Arial"/>
                <w:b/>
                <w:bCs/>
                <w:sz w:val="24"/>
                <w:szCs w:val="24"/>
              </w:rPr>
            </w:pPr>
            <w:r w:rsidRPr="004513DA">
              <w:rPr>
                <w:rFonts w:ascii="Garamond" w:eastAsia="Calibri" w:hAnsi="Garamond" w:cs="Arial"/>
                <w:b/>
                <w:bCs/>
                <w:sz w:val="24"/>
                <w:szCs w:val="24"/>
              </w:rPr>
              <w:t>riprogrammata</w:t>
            </w:r>
          </w:p>
        </w:tc>
      </w:tr>
    </w:tbl>
    <w:p w14:paraId="25B1126B" w14:textId="77777777" w:rsidR="00941B59" w:rsidRPr="008E2B66" w:rsidRDefault="00941B59" w:rsidP="00941B59">
      <w:pPr>
        <w:autoSpaceDE w:val="0"/>
        <w:autoSpaceDN w:val="0"/>
        <w:adjustRightInd w:val="0"/>
        <w:spacing w:line="360" w:lineRule="auto"/>
        <w:jc w:val="both"/>
        <w:rPr>
          <w:rFonts w:ascii="Garamond" w:hAnsi="Garamond" w:cs="Arial"/>
          <w:sz w:val="26"/>
          <w:szCs w:val="26"/>
        </w:rPr>
      </w:pPr>
    </w:p>
    <w:p w14:paraId="43D79F00" w14:textId="4FC0EFEF" w:rsidR="00DB087D" w:rsidRPr="008E2B66" w:rsidRDefault="00DB087D" w:rsidP="00CA543E">
      <w:pPr>
        <w:spacing w:after="80" w:line="276" w:lineRule="auto"/>
        <w:jc w:val="both"/>
        <w:rPr>
          <w:rFonts w:ascii="Garamond" w:eastAsiaTheme="minorHAnsi" w:hAnsi="Garamond" w:cs="Arial"/>
          <w:sz w:val="26"/>
          <w:szCs w:val="26"/>
        </w:rPr>
      </w:pPr>
      <w:r w:rsidRPr="008E2B66">
        <w:rPr>
          <w:rFonts w:ascii="Garamond" w:eastAsiaTheme="minorHAnsi" w:hAnsi="Garamond" w:cs="Arial"/>
          <w:sz w:val="26"/>
          <w:szCs w:val="26"/>
        </w:rPr>
        <w:lastRenderedPageBreak/>
        <w:t>Si precisa che tra le misure che erano state programmate per il 202</w:t>
      </w:r>
      <w:r w:rsidR="000E51D8" w:rsidRPr="008E2B66">
        <w:rPr>
          <w:rFonts w:ascii="Garamond" w:eastAsiaTheme="minorHAnsi" w:hAnsi="Garamond" w:cs="Arial"/>
          <w:sz w:val="26"/>
          <w:szCs w:val="26"/>
        </w:rPr>
        <w:t>5</w:t>
      </w:r>
      <w:r w:rsidRPr="008E2B66">
        <w:rPr>
          <w:rFonts w:ascii="Garamond" w:eastAsiaTheme="minorHAnsi" w:hAnsi="Garamond" w:cs="Arial"/>
          <w:sz w:val="26"/>
          <w:szCs w:val="26"/>
        </w:rPr>
        <w:t xml:space="preserve"> e indicate come adottate sono ricomprese anche quelle per le quali, come nel caso dei Centri, si è riscontrata la prevalenza di risposte positive o di risposte negative giustificate</w:t>
      </w:r>
      <w:r w:rsidR="00D17DBD" w:rsidRPr="008E2B66">
        <w:rPr>
          <w:rFonts w:ascii="Garamond" w:eastAsiaTheme="minorHAnsi" w:hAnsi="Garamond" w:cs="Arial"/>
          <w:sz w:val="26"/>
          <w:szCs w:val="26"/>
        </w:rPr>
        <w:t xml:space="preserve"> </w:t>
      </w:r>
      <w:r w:rsidR="009438D9" w:rsidRPr="008E2B66">
        <w:rPr>
          <w:rFonts w:ascii="Garamond" w:eastAsiaTheme="minorHAnsi" w:hAnsi="Garamond" w:cs="Arial"/>
          <w:sz w:val="26"/>
          <w:szCs w:val="26"/>
        </w:rPr>
        <w:t xml:space="preserve">dall’ </w:t>
      </w:r>
      <w:r w:rsidRPr="008E2B66">
        <w:rPr>
          <w:rFonts w:ascii="Garamond" w:eastAsiaTheme="minorHAnsi" w:hAnsi="Garamond" w:cs="Arial"/>
          <w:sz w:val="26"/>
          <w:szCs w:val="26"/>
        </w:rPr>
        <w:t xml:space="preserve">assenza delle condizioni per l’attuazione della misura. </w:t>
      </w:r>
    </w:p>
    <w:p w14:paraId="34D09082" w14:textId="04B43759" w:rsidR="00D17DBD" w:rsidRPr="008E2B66" w:rsidRDefault="00EF562E" w:rsidP="00CA543E">
      <w:pPr>
        <w:spacing w:after="80" w:line="276" w:lineRule="auto"/>
        <w:jc w:val="both"/>
        <w:rPr>
          <w:rFonts w:ascii="Garamond" w:eastAsiaTheme="minorHAnsi" w:hAnsi="Garamond" w:cs="Arial"/>
          <w:sz w:val="26"/>
          <w:szCs w:val="26"/>
        </w:rPr>
      </w:pPr>
      <w:r w:rsidRPr="008E2B66">
        <w:rPr>
          <w:rFonts w:ascii="Garamond" w:eastAsiaTheme="minorHAnsi" w:hAnsi="Garamond" w:cs="Arial"/>
          <w:sz w:val="26"/>
          <w:szCs w:val="26"/>
        </w:rPr>
        <w:t xml:space="preserve">Come </w:t>
      </w:r>
      <w:r w:rsidR="00510DD2">
        <w:rPr>
          <w:rFonts w:ascii="Garamond" w:eastAsiaTheme="minorHAnsi" w:hAnsi="Garamond" w:cs="Arial"/>
          <w:sz w:val="26"/>
          <w:szCs w:val="26"/>
        </w:rPr>
        <w:t>emerge dalle tabelle soprariportate,</w:t>
      </w:r>
      <w:r w:rsidRPr="008E2B66">
        <w:rPr>
          <w:rFonts w:ascii="Garamond" w:eastAsiaTheme="minorHAnsi" w:hAnsi="Garamond" w:cs="Arial"/>
          <w:sz w:val="26"/>
          <w:szCs w:val="26"/>
        </w:rPr>
        <w:t xml:space="preserve"> </w:t>
      </w:r>
      <w:r w:rsidR="00DB087D" w:rsidRPr="008E2B66">
        <w:rPr>
          <w:rFonts w:ascii="Garamond" w:eastAsiaTheme="minorHAnsi" w:hAnsi="Garamond" w:cs="Arial"/>
          <w:sz w:val="26"/>
          <w:szCs w:val="26"/>
        </w:rPr>
        <w:t>alcune misure</w:t>
      </w:r>
      <w:r w:rsidR="00510DD2">
        <w:rPr>
          <w:rFonts w:ascii="Garamond" w:eastAsiaTheme="minorHAnsi" w:hAnsi="Garamond" w:cs="Arial"/>
          <w:sz w:val="26"/>
          <w:szCs w:val="26"/>
        </w:rPr>
        <w:t xml:space="preserve"> - </w:t>
      </w:r>
      <w:r w:rsidR="00DB087D" w:rsidRPr="008E2B66">
        <w:rPr>
          <w:rFonts w:ascii="Garamond" w:eastAsiaTheme="minorHAnsi" w:hAnsi="Garamond" w:cs="Arial"/>
          <w:sz w:val="26"/>
          <w:szCs w:val="26"/>
        </w:rPr>
        <w:t>a seguito delle risposte fornite con i monitoraggi sono state rimodulate e/o riprogrammate.</w:t>
      </w:r>
      <w:r w:rsidRPr="008E2B66">
        <w:rPr>
          <w:rFonts w:ascii="Garamond" w:eastAsiaTheme="minorHAnsi" w:hAnsi="Garamond" w:cs="Arial"/>
          <w:sz w:val="26"/>
          <w:szCs w:val="26"/>
        </w:rPr>
        <w:t xml:space="preserve"> </w:t>
      </w:r>
      <w:r w:rsidR="00D17DBD" w:rsidRPr="008E2B66">
        <w:rPr>
          <w:rFonts w:ascii="Garamond" w:eastAsiaTheme="minorHAnsi" w:hAnsi="Garamond" w:cs="Arial"/>
          <w:sz w:val="26"/>
          <w:szCs w:val="26"/>
        </w:rPr>
        <w:t>La riprogrammazione, in alcuni casi, si è resa necessaria</w:t>
      </w:r>
      <w:r w:rsidR="00D70525" w:rsidRPr="008E2B66">
        <w:rPr>
          <w:rFonts w:ascii="Garamond" w:eastAsiaTheme="minorHAnsi" w:hAnsi="Garamond" w:cs="Arial"/>
          <w:sz w:val="26"/>
          <w:szCs w:val="26"/>
        </w:rPr>
        <w:t xml:space="preserve"> per consentire il monitoraggio sulla corretta attuazione a seguito di indicazioni fornite</w:t>
      </w:r>
      <w:r w:rsidRPr="008E2B66">
        <w:rPr>
          <w:rFonts w:ascii="Garamond" w:eastAsiaTheme="minorHAnsi" w:hAnsi="Garamond" w:cs="Arial"/>
          <w:sz w:val="26"/>
          <w:szCs w:val="26"/>
        </w:rPr>
        <w:t xml:space="preserve"> previo confronto </w:t>
      </w:r>
      <w:r w:rsidR="009438D9" w:rsidRPr="008E2B66">
        <w:rPr>
          <w:rFonts w:ascii="Garamond" w:eastAsiaTheme="minorHAnsi" w:hAnsi="Garamond" w:cs="Arial"/>
          <w:sz w:val="26"/>
          <w:szCs w:val="26"/>
        </w:rPr>
        <w:t xml:space="preserve">dal </w:t>
      </w:r>
      <w:r w:rsidRPr="008E2B66">
        <w:rPr>
          <w:rFonts w:ascii="Garamond" w:eastAsiaTheme="minorHAnsi" w:hAnsi="Garamond" w:cs="Arial"/>
          <w:sz w:val="26"/>
          <w:szCs w:val="26"/>
        </w:rPr>
        <w:t>competente Ufficio</w:t>
      </w:r>
      <w:r w:rsidR="00510DD2">
        <w:rPr>
          <w:rFonts w:ascii="Garamond" w:eastAsiaTheme="minorHAnsi" w:hAnsi="Garamond" w:cs="Arial"/>
          <w:sz w:val="26"/>
          <w:szCs w:val="26"/>
        </w:rPr>
        <w:t xml:space="preserve"> dell’Amministrazione centrale</w:t>
      </w:r>
      <w:r w:rsidR="00614A82" w:rsidRPr="008E2B66">
        <w:rPr>
          <w:rFonts w:ascii="Garamond" w:eastAsiaTheme="minorHAnsi" w:hAnsi="Garamond" w:cs="Arial"/>
          <w:sz w:val="26"/>
          <w:szCs w:val="26"/>
        </w:rPr>
        <w:t>.</w:t>
      </w:r>
    </w:p>
    <w:p w14:paraId="2839D455" w14:textId="1D663CD1" w:rsidR="00D70525" w:rsidRPr="008E2B66" w:rsidRDefault="00D17DBD" w:rsidP="00CA543E">
      <w:pPr>
        <w:autoSpaceDE w:val="0"/>
        <w:autoSpaceDN w:val="0"/>
        <w:adjustRightInd w:val="0"/>
        <w:spacing w:after="80" w:line="276" w:lineRule="auto"/>
        <w:jc w:val="both"/>
        <w:rPr>
          <w:rFonts w:ascii="Garamond" w:hAnsi="Garamond" w:cs="Arial"/>
          <w:sz w:val="26"/>
          <w:szCs w:val="26"/>
        </w:rPr>
      </w:pPr>
      <w:bookmarkStart w:id="10" w:name="_Hlk184220272"/>
      <w:r w:rsidRPr="008E2B66">
        <w:rPr>
          <w:rFonts w:ascii="Garamond" w:hAnsi="Garamond" w:cs="Arial"/>
          <w:sz w:val="26"/>
          <w:szCs w:val="26"/>
        </w:rPr>
        <w:t xml:space="preserve">Come già </w:t>
      </w:r>
      <w:r w:rsidR="00B92605">
        <w:rPr>
          <w:rFonts w:ascii="Garamond" w:hAnsi="Garamond" w:cs="Arial"/>
          <w:sz w:val="26"/>
          <w:szCs w:val="26"/>
        </w:rPr>
        <w:t xml:space="preserve">evidenziato </w:t>
      </w:r>
      <w:r w:rsidRPr="008E2B66">
        <w:rPr>
          <w:rFonts w:ascii="Garamond" w:hAnsi="Garamond" w:cs="Arial"/>
          <w:sz w:val="26"/>
          <w:szCs w:val="26"/>
        </w:rPr>
        <w:t>in precedenza</w:t>
      </w:r>
      <w:r w:rsidR="00EF562E" w:rsidRPr="008E2B66">
        <w:rPr>
          <w:rFonts w:ascii="Garamond" w:hAnsi="Garamond" w:cs="Arial"/>
          <w:sz w:val="26"/>
          <w:szCs w:val="26"/>
        </w:rPr>
        <w:t>,</w:t>
      </w:r>
      <w:r w:rsidRPr="008E2B66">
        <w:rPr>
          <w:rFonts w:ascii="Garamond" w:hAnsi="Garamond" w:cs="Arial"/>
          <w:sz w:val="26"/>
          <w:szCs w:val="26"/>
        </w:rPr>
        <w:t xml:space="preserve"> g</w:t>
      </w:r>
      <w:r w:rsidR="00941B59" w:rsidRPr="008E2B66">
        <w:rPr>
          <w:rFonts w:ascii="Garamond" w:hAnsi="Garamond" w:cs="Arial"/>
          <w:sz w:val="26"/>
          <w:szCs w:val="26"/>
        </w:rPr>
        <w:t xml:space="preserve">li esiti dei monitoraggi hanno </w:t>
      </w:r>
      <w:r w:rsidR="009438D9" w:rsidRPr="008E2B66">
        <w:rPr>
          <w:rFonts w:ascii="Garamond" w:hAnsi="Garamond" w:cs="Arial"/>
          <w:sz w:val="26"/>
          <w:szCs w:val="26"/>
        </w:rPr>
        <w:t xml:space="preserve">comportato </w:t>
      </w:r>
      <w:r w:rsidR="00941B59" w:rsidRPr="008E2B66">
        <w:rPr>
          <w:rFonts w:ascii="Garamond" w:hAnsi="Garamond" w:cs="Arial"/>
          <w:sz w:val="26"/>
          <w:szCs w:val="26"/>
        </w:rPr>
        <w:t>l’aggiornamento</w:t>
      </w:r>
      <w:r w:rsidR="00D70525" w:rsidRPr="008E2B66">
        <w:rPr>
          <w:rFonts w:ascii="Garamond" w:hAnsi="Garamond" w:cs="Arial"/>
          <w:sz w:val="26"/>
          <w:szCs w:val="26"/>
        </w:rPr>
        <w:t xml:space="preserve"> </w:t>
      </w:r>
      <w:r w:rsidR="00AD0D08" w:rsidRPr="008E2B66">
        <w:rPr>
          <w:rFonts w:ascii="Garamond" w:hAnsi="Garamond" w:cs="Arial"/>
          <w:sz w:val="26"/>
          <w:szCs w:val="26"/>
        </w:rPr>
        <w:t>dell’</w:t>
      </w:r>
      <w:r w:rsidR="00510DD2" w:rsidRPr="00B92605">
        <w:rPr>
          <w:rFonts w:ascii="Garamond" w:hAnsi="Garamond" w:cs="Arial"/>
          <w:i/>
          <w:iCs/>
          <w:sz w:val="26"/>
          <w:szCs w:val="26"/>
        </w:rPr>
        <w:t>A</w:t>
      </w:r>
      <w:r w:rsidR="00AD0D08" w:rsidRPr="00B92605">
        <w:rPr>
          <w:rFonts w:ascii="Garamond" w:hAnsi="Garamond" w:cs="Arial"/>
          <w:i/>
          <w:iCs/>
          <w:sz w:val="26"/>
          <w:szCs w:val="26"/>
        </w:rPr>
        <w:t>llegato</w:t>
      </w:r>
      <w:r w:rsidR="00D70525" w:rsidRPr="00B92605">
        <w:rPr>
          <w:rFonts w:ascii="Garamond" w:hAnsi="Garamond" w:cs="Arial"/>
          <w:i/>
          <w:iCs/>
          <w:sz w:val="26"/>
          <w:szCs w:val="26"/>
        </w:rPr>
        <w:t xml:space="preserve"> </w:t>
      </w:r>
      <w:r w:rsidR="00030D5B" w:rsidRPr="00B92605">
        <w:rPr>
          <w:rFonts w:ascii="Garamond" w:hAnsi="Garamond" w:cs="Arial"/>
          <w:i/>
          <w:iCs/>
          <w:sz w:val="26"/>
          <w:szCs w:val="26"/>
        </w:rPr>
        <w:t>4</w:t>
      </w:r>
      <w:r w:rsidR="00D70525" w:rsidRPr="00B92605">
        <w:rPr>
          <w:rFonts w:ascii="Garamond" w:hAnsi="Garamond" w:cs="Arial"/>
          <w:i/>
          <w:iCs/>
          <w:sz w:val="26"/>
          <w:szCs w:val="26"/>
        </w:rPr>
        <w:t xml:space="preserve"> </w:t>
      </w:r>
      <w:r w:rsidR="00D70525" w:rsidRPr="008E2B66">
        <w:rPr>
          <w:rFonts w:ascii="Garamond" w:hAnsi="Garamond" w:cs="Arial"/>
          <w:sz w:val="26"/>
          <w:szCs w:val="26"/>
        </w:rPr>
        <w:t xml:space="preserve">del </w:t>
      </w:r>
      <w:r w:rsidR="00D70525" w:rsidRPr="00870C09">
        <w:rPr>
          <w:rFonts w:ascii="Garamond" w:hAnsi="Garamond" w:cs="Arial"/>
          <w:sz w:val="26"/>
          <w:szCs w:val="26"/>
        </w:rPr>
        <w:t>PIAO 202</w:t>
      </w:r>
      <w:r w:rsidR="00870C09" w:rsidRPr="00870C09">
        <w:rPr>
          <w:rFonts w:ascii="Garamond" w:hAnsi="Garamond" w:cs="Arial"/>
          <w:sz w:val="26"/>
          <w:szCs w:val="26"/>
        </w:rPr>
        <w:t>5</w:t>
      </w:r>
      <w:r w:rsidR="00D70525" w:rsidRPr="00870C09">
        <w:rPr>
          <w:rFonts w:ascii="Garamond" w:hAnsi="Garamond" w:cs="Arial"/>
          <w:sz w:val="26"/>
          <w:szCs w:val="26"/>
        </w:rPr>
        <w:t>-202</w:t>
      </w:r>
      <w:r w:rsidR="00870C09" w:rsidRPr="00870C09">
        <w:rPr>
          <w:rFonts w:ascii="Garamond" w:hAnsi="Garamond" w:cs="Arial"/>
          <w:sz w:val="26"/>
          <w:szCs w:val="26"/>
        </w:rPr>
        <w:t>7</w:t>
      </w:r>
      <w:r w:rsidR="00D70525" w:rsidRPr="00870C09">
        <w:rPr>
          <w:rFonts w:ascii="Garamond" w:hAnsi="Garamond" w:cs="Arial"/>
          <w:sz w:val="26"/>
          <w:szCs w:val="26"/>
        </w:rPr>
        <w:t xml:space="preserve"> confluito</w:t>
      </w:r>
      <w:r w:rsidR="00D70525" w:rsidRPr="008E2B66">
        <w:rPr>
          <w:rFonts w:ascii="Garamond" w:hAnsi="Garamond" w:cs="Arial"/>
          <w:sz w:val="26"/>
          <w:szCs w:val="26"/>
        </w:rPr>
        <w:t xml:space="preserve"> </w:t>
      </w:r>
      <w:r w:rsidR="00D70525" w:rsidRPr="008E2B66">
        <w:rPr>
          <w:rFonts w:ascii="Garamond" w:eastAsia="Arial Unicode MS" w:hAnsi="Garamond" w:cs="Arial"/>
          <w:sz w:val="26"/>
          <w:szCs w:val="26"/>
          <w:u w:color="000000"/>
          <w:bdr w:val="nil"/>
          <w:lang w:eastAsia="it-IT"/>
        </w:rPr>
        <w:t>nell</w:t>
      </w:r>
      <w:r w:rsidR="00941B59" w:rsidRPr="00AB34B2">
        <w:rPr>
          <w:rFonts w:ascii="Garamond" w:hAnsi="Garamond" w:cs="Arial"/>
          <w:sz w:val="26"/>
          <w:szCs w:val="26"/>
        </w:rPr>
        <w:t>’</w:t>
      </w:r>
      <w:r w:rsidR="00AD0D08" w:rsidRPr="00AB34B2">
        <w:rPr>
          <w:rFonts w:ascii="Garamond" w:hAnsi="Garamond" w:cs="Arial"/>
          <w:i/>
          <w:iCs/>
          <w:sz w:val="26"/>
          <w:szCs w:val="26"/>
        </w:rPr>
        <w:t>A</w:t>
      </w:r>
      <w:r w:rsidR="00941B59" w:rsidRPr="00AB34B2">
        <w:rPr>
          <w:rFonts w:ascii="Garamond" w:hAnsi="Garamond" w:cs="Arial"/>
          <w:i/>
          <w:iCs/>
          <w:sz w:val="26"/>
          <w:szCs w:val="26"/>
        </w:rPr>
        <w:t>llegato</w:t>
      </w:r>
      <w:r w:rsidR="00870C09" w:rsidRPr="00AB34B2">
        <w:rPr>
          <w:rFonts w:ascii="Garamond" w:hAnsi="Garamond" w:cs="Arial"/>
          <w:i/>
          <w:iCs/>
          <w:sz w:val="26"/>
          <w:szCs w:val="26"/>
        </w:rPr>
        <w:t>1</w:t>
      </w:r>
      <w:r w:rsidR="00941B59" w:rsidRPr="00AB34B2">
        <w:rPr>
          <w:rFonts w:ascii="Garamond" w:hAnsi="Garamond" w:cs="Arial"/>
          <w:i/>
          <w:iCs/>
          <w:sz w:val="26"/>
          <w:szCs w:val="26"/>
        </w:rPr>
        <w:t xml:space="preserve"> </w:t>
      </w:r>
      <w:r w:rsidR="00941B59" w:rsidRPr="008E2B66">
        <w:rPr>
          <w:rFonts w:ascii="Garamond" w:hAnsi="Garamond" w:cs="Arial"/>
          <w:sz w:val="26"/>
          <w:szCs w:val="26"/>
        </w:rPr>
        <w:t>al presente</w:t>
      </w:r>
      <w:r w:rsidR="009438D9" w:rsidRPr="008E2B66">
        <w:rPr>
          <w:rFonts w:ascii="Garamond" w:hAnsi="Garamond" w:cs="Arial"/>
          <w:sz w:val="26"/>
          <w:szCs w:val="26"/>
        </w:rPr>
        <w:t xml:space="preserve"> documento</w:t>
      </w:r>
      <w:r w:rsidR="00D70525" w:rsidRPr="008E2B66">
        <w:rPr>
          <w:rFonts w:ascii="Garamond" w:hAnsi="Garamond" w:cs="Arial"/>
          <w:sz w:val="26"/>
          <w:szCs w:val="26"/>
        </w:rPr>
        <w:t>.</w:t>
      </w:r>
      <w:r w:rsidR="00941B59" w:rsidRPr="008E2B66">
        <w:rPr>
          <w:rFonts w:ascii="Garamond" w:hAnsi="Garamond" w:cs="Arial"/>
          <w:sz w:val="26"/>
          <w:szCs w:val="26"/>
        </w:rPr>
        <w:t xml:space="preserve"> </w:t>
      </w:r>
    </w:p>
    <w:p w14:paraId="1A9BCA5F" w14:textId="77777777" w:rsidR="00510DD2" w:rsidRPr="009A175F" w:rsidRDefault="00510DD2" w:rsidP="00CA543E">
      <w:pPr>
        <w:autoSpaceDE w:val="0"/>
        <w:autoSpaceDN w:val="0"/>
        <w:adjustRightInd w:val="0"/>
        <w:spacing w:after="80" w:line="276" w:lineRule="auto"/>
        <w:jc w:val="both"/>
        <w:rPr>
          <w:rFonts w:ascii="Garamond" w:hAnsi="Garamond" w:cs="Arial"/>
          <w:i/>
          <w:iCs/>
          <w:sz w:val="26"/>
          <w:szCs w:val="26"/>
        </w:rPr>
      </w:pPr>
      <w:r w:rsidRPr="009A175F">
        <w:rPr>
          <w:rFonts w:ascii="Garamond" w:hAnsi="Garamond" w:cs="Arial"/>
          <w:sz w:val="26"/>
          <w:szCs w:val="26"/>
        </w:rPr>
        <w:t xml:space="preserve">Ciò premesso, occorre </w:t>
      </w:r>
      <w:r w:rsidR="00933DB1" w:rsidRPr="009A175F">
        <w:rPr>
          <w:rFonts w:ascii="Garamond" w:hAnsi="Garamond" w:cs="Arial"/>
          <w:sz w:val="26"/>
          <w:szCs w:val="26"/>
        </w:rPr>
        <w:t xml:space="preserve">tenere conto anche </w:t>
      </w:r>
      <w:r w:rsidR="00E006D5" w:rsidRPr="009A175F">
        <w:rPr>
          <w:rFonts w:ascii="Garamond" w:hAnsi="Garamond" w:cs="Arial"/>
          <w:sz w:val="26"/>
          <w:szCs w:val="26"/>
        </w:rPr>
        <w:t>dell’attenzione</w:t>
      </w:r>
      <w:r w:rsidR="00933DB1" w:rsidRPr="009A175F">
        <w:rPr>
          <w:rFonts w:ascii="Garamond" w:hAnsi="Garamond" w:cs="Arial"/>
          <w:sz w:val="26"/>
          <w:szCs w:val="26"/>
        </w:rPr>
        <w:t xml:space="preserve"> che </w:t>
      </w:r>
      <w:r w:rsidR="00515946" w:rsidRPr="009A175F">
        <w:rPr>
          <w:rFonts w:ascii="Garamond" w:hAnsi="Garamond" w:cs="Arial"/>
          <w:sz w:val="26"/>
          <w:szCs w:val="26"/>
        </w:rPr>
        <w:t>ANAC</w:t>
      </w:r>
      <w:r w:rsidR="007D68FA" w:rsidRPr="009A175F">
        <w:rPr>
          <w:rFonts w:ascii="Garamond" w:hAnsi="Garamond" w:cs="Arial"/>
          <w:sz w:val="26"/>
          <w:szCs w:val="26"/>
        </w:rPr>
        <w:t xml:space="preserve"> </w:t>
      </w:r>
      <w:r w:rsidR="00F309B1" w:rsidRPr="009A175F">
        <w:rPr>
          <w:rFonts w:ascii="Garamond" w:hAnsi="Garamond" w:cs="Arial"/>
          <w:sz w:val="26"/>
          <w:szCs w:val="26"/>
        </w:rPr>
        <w:t xml:space="preserve">dedica ai </w:t>
      </w:r>
      <w:r w:rsidR="00931AE8" w:rsidRPr="009A175F">
        <w:rPr>
          <w:rFonts w:ascii="Garamond" w:hAnsi="Garamond" w:cs="Arial"/>
          <w:i/>
          <w:iCs/>
          <w:sz w:val="26"/>
          <w:szCs w:val="26"/>
        </w:rPr>
        <w:t>contratti</w:t>
      </w:r>
      <w:r w:rsidR="00F309B1" w:rsidRPr="009A175F">
        <w:rPr>
          <w:rFonts w:ascii="Garamond" w:hAnsi="Garamond" w:cs="Arial"/>
          <w:i/>
          <w:iCs/>
          <w:sz w:val="26"/>
          <w:szCs w:val="26"/>
        </w:rPr>
        <w:t xml:space="preserve"> pubblici</w:t>
      </w:r>
      <w:r w:rsidR="007D68FA" w:rsidRPr="009A175F">
        <w:rPr>
          <w:rFonts w:ascii="Garamond" w:hAnsi="Garamond" w:cs="Arial"/>
          <w:sz w:val="26"/>
          <w:szCs w:val="26"/>
        </w:rPr>
        <w:t xml:space="preserve"> </w:t>
      </w:r>
      <w:r w:rsidR="00621D8E" w:rsidRPr="009A175F">
        <w:rPr>
          <w:rFonts w:ascii="Garamond" w:hAnsi="Garamond" w:cs="Arial"/>
          <w:sz w:val="26"/>
          <w:szCs w:val="26"/>
        </w:rPr>
        <w:t xml:space="preserve">con particolare riferimento alla </w:t>
      </w:r>
      <w:r w:rsidR="00621D8E" w:rsidRPr="009A175F">
        <w:rPr>
          <w:rFonts w:ascii="Garamond" w:hAnsi="Garamond" w:cs="Arial"/>
          <w:i/>
          <w:iCs/>
          <w:sz w:val="26"/>
          <w:szCs w:val="26"/>
        </w:rPr>
        <w:t xml:space="preserve">digitalizzazione </w:t>
      </w:r>
      <w:r w:rsidR="0022451C" w:rsidRPr="009A175F">
        <w:rPr>
          <w:rFonts w:ascii="Garamond" w:hAnsi="Garamond" w:cs="Arial"/>
          <w:i/>
          <w:iCs/>
          <w:sz w:val="26"/>
          <w:szCs w:val="26"/>
        </w:rPr>
        <w:t xml:space="preserve">del ciclo di vita </w:t>
      </w:r>
      <w:r w:rsidR="00B45A5A" w:rsidRPr="009A175F">
        <w:rPr>
          <w:rFonts w:ascii="Garamond" w:hAnsi="Garamond" w:cs="Arial"/>
          <w:i/>
          <w:iCs/>
          <w:sz w:val="26"/>
          <w:szCs w:val="26"/>
        </w:rPr>
        <w:t>degli appalti</w:t>
      </w:r>
      <w:r w:rsidR="00B45A5A" w:rsidRPr="009A175F">
        <w:rPr>
          <w:rFonts w:ascii="Garamond" w:hAnsi="Garamond" w:cs="Arial"/>
          <w:sz w:val="26"/>
          <w:szCs w:val="26"/>
        </w:rPr>
        <w:t xml:space="preserve">. </w:t>
      </w:r>
      <w:r w:rsidRPr="009A175F">
        <w:rPr>
          <w:rFonts w:ascii="Garamond" w:hAnsi="Garamond" w:cs="Arial"/>
          <w:sz w:val="26"/>
          <w:szCs w:val="26"/>
        </w:rPr>
        <w:t>La</w:t>
      </w:r>
      <w:r w:rsidR="00B45A5A" w:rsidRPr="009A175F">
        <w:rPr>
          <w:rFonts w:ascii="Garamond" w:hAnsi="Garamond" w:cs="Arial"/>
          <w:sz w:val="26"/>
          <w:szCs w:val="26"/>
        </w:rPr>
        <w:t xml:space="preserve"> digitalizzazione, introdotta dal </w:t>
      </w:r>
      <w:r w:rsidR="00B45A5A" w:rsidRPr="009A175F">
        <w:rPr>
          <w:rFonts w:ascii="Garamond" w:hAnsi="Garamond" w:cs="Arial"/>
          <w:i/>
          <w:iCs/>
          <w:sz w:val="26"/>
          <w:szCs w:val="26"/>
        </w:rPr>
        <w:t>nuovo Codice dei contratti pubblici</w:t>
      </w:r>
      <w:r w:rsidR="00B45A5A" w:rsidRPr="009A175F">
        <w:rPr>
          <w:rFonts w:ascii="Garamond" w:hAnsi="Garamond" w:cs="Arial"/>
          <w:sz w:val="26"/>
          <w:szCs w:val="26"/>
        </w:rPr>
        <w:t>,</w:t>
      </w:r>
      <w:r w:rsidR="0022451C" w:rsidRPr="009A175F">
        <w:rPr>
          <w:rFonts w:ascii="Garamond" w:hAnsi="Garamond" w:cs="Arial"/>
          <w:sz w:val="26"/>
          <w:szCs w:val="26"/>
        </w:rPr>
        <w:t xml:space="preserve"> ha rivoluzionato l’intera disciplina e al contempo</w:t>
      </w:r>
      <w:r w:rsidR="00C214E1" w:rsidRPr="009A175F">
        <w:rPr>
          <w:rFonts w:ascii="Garamond" w:hAnsi="Garamond" w:cs="Arial"/>
          <w:sz w:val="26"/>
          <w:szCs w:val="26"/>
        </w:rPr>
        <w:t xml:space="preserve"> ha fatto emergere nuovi</w:t>
      </w:r>
      <w:r w:rsidR="002A03E7" w:rsidRPr="009A175F">
        <w:rPr>
          <w:rFonts w:ascii="Garamond" w:hAnsi="Garamond" w:cs="Arial"/>
          <w:sz w:val="26"/>
          <w:szCs w:val="26"/>
        </w:rPr>
        <w:t xml:space="preserve"> possibili</w:t>
      </w:r>
      <w:r w:rsidR="00C214E1" w:rsidRPr="009A175F">
        <w:rPr>
          <w:rFonts w:ascii="Garamond" w:hAnsi="Garamond" w:cs="Arial"/>
          <w:sz w:val="26"/>
          <w:szCs w:val="26"/>
        </w:rPr>
        <w:t xml:space="preserve"> </w:t>
      </w:r>
      <w:r w:rsidR="0055725A" w:rsidRPr="009A175F">
        <w:rPr>
          <w:rFonts w:ascii="Garamond" w:hAnsi="Garamond" w:cs="Arial"/>
          <w:i/>
          <w:iCs/>
          <w:sz w:val="26"/>
          <w:szCs w:val="26"/>
        </w:rPr>
        <w:t>eventi rischiosi</w:t>
      </w:r>
      <w:r w:rsidR="001B2C34" w:rsidRPr="009A175F">
        <w:rPr>
          <w:rFonts w:ascii="Garamond" w:hAnsi="Garamond" w:cs="Arial"/>
          <w:sz w:val="26"/>
          <w:szCs w:val="26"/>
        </w:rPr>
        <w:t xml:space="preserve"> </w:t>
      </w:r>
      <w:r w:rsidR="0055725A" w:rsidRPr="009A175F">
        <w:rPr>
          <w:rFonts w:ascii="Garamond" w:hAnsi="Garamond" w:cs="Arial"/>
          <w:sz w:val="26"/>
          <w:szCs w:val="26"/>
        </w:rPr>
        <w:t>conness</w:t>
      </w:r>
      <w:r w:rsidR="001B2C34" w:rsidRPr="009A175F">
        <w:rPr>
          <w:rFonts w:ascii="Garamond" w:hAnsi="Garamond" w:cs="Arial"/>
          <w:sz w:val="26"/>
          <w:szCs w:val="26"/>
        </w:rPr>
        <w:t>i</w:t>
      </w:r>
      <w:r w:rsidR="0055725A" w:rsidRPr="009A175F">
        <w:rPr>
          <w:rFonts w:ascii="Garamond" w:hAnsi="Garamond" w:cs="Arial"/>
          <w:sz w:val="26"/>
          <w:szCs w:val="26"/>
        </w:rPr>
        <w:t xml:space="preserve"> al non corretto utilizzo della </w:t>
      </w:r>
      <w:r w:rsidR="00B45A5A" w:rsidRPr="009A175F">
        <w:rPr>
          <w:rFonts w:ascii="Garamond" w:hAnsi="Garamond" w:cs="Arial"/>
          <w:i/>
          <w:iCs/>
          <w:sz w:val="26"/>
          <w:szCs w:val="26"/>
        </w:rPr>
        <w:t>Piattaforme digitali di affidamento (</w:t>
      </w:r>
      <w:r w:rsidR="0055725A" w:rsidRPr="009A175F">
        <w:rPr>
          <w:rFonts w:ascii="Garamond" w:hAnsi="Garamond" w:cs="Arial"/>
          <w:i/>
          <w:iCs/>
          <w:sz w:val="26"/>
          <w:szCs w:val="26"/>
        </w:rPr>
        <w:t>PAD</w:t>
      </w:r>
      <w:r w:rsidR="00B45A5A" w:rsidRPr="009A175F">
        <w:rPr>
          <w:rFonts w:ascii="Garamond" w:hAnsi="Garamond" w:cs="Arial"/>
          <w:i/>
          <w:iCs/>
          <w:sz w:val="26"/>
          <w:szCs w:val="26"/>
        </w:rPr>
        <w:t>)</w:t>
      </w:r>
      <w:r w:rsidR="00132BBC" w:rsidRPr="009A175F">
        <w:rPr>
          <w:rFonts w:ascii="Garamond" w:hAnsi="Garamond" w:cs="Arial"/>
          <w:i/>
          <w:iCs/>
          <w:sz w:val="26"/>
          <w:szCs w:val="26"/>
        </w:rPr>
        <w:t xml:space="preserve"> </w:t>
      </w:r>
      <w:r w:rsidR="00132BBC" w:rsidRPr="009A175F">
        <w:rPr>
          <w:rFonts w:ascii="Garamond" w:hAnsi="Garamond" w:cs="Arial"/>
          <w:sz w:val="26"/>
          <w:szCs w:val="26"/>
        </w:rPr>
        <w:t xml:space="preserve">o all’erroneo utilizzo </w:t>
      </w:r>
      <w:r w:rsidR="00C96944" w:rsidRPr="009A175F">
        <w:rPr>
          <w:rFonts w:ascii="Garamond" w:hAnsi="Garamond" w:cs="Arial"/>
          <w:sz w:val="26"/>
          <w:szCs w:val="26"/>
        </w:rPr>
        <w:t xml:space="preserve">del </w:t>
      </w:r>
      <w:r w:rsidR="00B45A5A" w:rsidRPr="009A175F">
        <w:rPr>
          <w:rFonts w:ascii="Garamond" w:hAnsi="Garamond" w:cs="Arial"/>
          <w:i/>
          <w:iCs/>
          <w:sz w:val="26"/>
          <w:szCs w:val="26"/>
        </w:rPr>
        <w:t>F</w:t>
      </w:r>
      <w:r w:rsidR="00C96944" w:rsidRPr="009A175F">
        <w:rPr>
          <w:rFonts w:ascii="Garamond" w:hAnsi="Garamond" w:cs="Arial"/>
          <w:i/>
          <w:iCs/>
          <w:sz w:val="26"/>
          <w:szCs w:val="26"/>
        </w:rPr>
        <w:t xml:space="preserve">ascicolo virtuale dell’operatore economico </w:t>
      </w:r>
      <w:r w:rsidR="00837577" w:rsidRPr="009A175F">
        <w:rPr>
          <w:rFonts w:ascii="Garamond" w:hAnsi="Garamond" w:cs="Arial"/>
          <w:i/>
          <w:iCs/>
          <w:sz w:val="26"/>
          <w:szCs w:val="26"/>
        </w:rPr>
        <w:t>(FVOE</w:t>
      </w:r>
      <w:r w:rsidR="00C96944" w:rsidRPr="009A175F">
        <w:rPr>
          <w:rFonts w:ascii="Garamond" w:hAnsi="Garamond" w:cs="Arial"/>
          <w:i/>
          <w:iCs/>
          <w:sz w:val="26"/>
          <w:szCs w:val="26"/>
        </w:rPr>
        <w:t>)</w:t>
      </w:r>
      <w:r w:rsidR="00837577" w:rsidRPr="009A175F">
        <w:rPr>
          <w:rFonts w:ascii="Garamond" w:hAnsi="Garamond" w:cs="Arial"/>
          <w:i/>
          <w:iCs/>
          <w:sz w:val="26"/>
          <w:szCs w:val="26"/>
        </w:rPr>
        <w:t>.</w:t>
      </w:r>
      <w:r w:rsidR="00751248" w:rsidRPr="009A175F">
        <w:rPr>
          <w:rFonts w:ascii="Garamond" w:hAnsi="Garamond" w:cs="Arial"/>
          <w:i/>
          <w:iCs/>
          <w:sz w:val="26"/>
          <w:szCs w:val="26"/>
        </w:rPr>
        <w:t xml:space="preserve"> </w:t>
      </w:r>
    </w:p>
    <w:p w14:paraId="660F9259" w14:textId="77777777" w:rsidR="00510DD2" w:rsidRPr="009A175F" w:rsidRDefault="00510DD2" w:rsidP="00CA543E">
      <w:pPr>
        <w:autoSpaceDE w:val="0"/>
        <w:autoSpaceDN w:val="0"/>
        <w:adjustRightInd w:val="0"/>
        <w:spacing w:after="80" w:line="276" w:lineRule="auto"/>
        <w:jc w:val="both"/>
        <w:rPr>
          <w:rFonts w:ascii="Garamond" w:hAnsi="Garamond" w:cs="Arial"/>
          <w:sz w:val="26"/>
          <w:szCs w:val="26"/>
        </w:rPr>
      </w:pPr>
      <w:r w:rsidRPr="009A175F">
        <w:rPr>
          <w:rFonts w:ascii="Garamond" w:hAnsi="Garamond" w:cs="Arial"/>
          <w:sz w:val="26"/>
          <w:szCs w:val="26"/>
        </w:rPr>
        <w:t>L’</w:t>
      </w:r>
      <w:r w:rsidR="008D687B" w:rsidRPr="009A175F">
        <w:rPr>
          <w:rFonts w:ascii="Garamond" w:hAnsi="Garamond" w:cs="Arial"/>
          <w:sz w:val="26"/>
          <w:szCs w:val="26"/>
        </w:rPr>
        <w:t>ANAC</w:t>
      </w:r>
      <w:r w:rsidRPr="009A175F">
        <w:rPr>
          <w:rFonts w:ascii="Garamond" w:hAnsi="Garamond" w:cs="Arial"/>
          <w:sz w:val="26"/>
          <w:szCs w:val="26"/>
        </w:rPr>
        <w:t xml:space="preserve"> ha focalizzato l’attenzione</w:t>
      </w:r>
      <w:r w:rsidR="00B45A5A" w:rsidRPr="009A175F">
        <w:rPr>
          <w:rFonts w:ascii="Garamond" w:hAnsi="Garamond" w:cs="Arial"/>
          <w:sz w:val="26"/>
          <w:szCs w:val="26"/>
        </w:rPr>
        <w:t xml:space="preserve">, in particolare, </w:t>
      </w:r>
      <w:r w:rsidRPr="009A175F">
        <w:rPr>
          <w:rFonts w:ascii="Garamond" w:hAnsi="Garamond" w:cs="Arial"/>
          <w:sz w:val="26"/>
          <w:szCs w:val="26"/>
        </w:rPr>
        <w:t xml:space="preserve">su tutte </w:t>
      </w:r>
      <w:r w:rsidR="00B45A5A" w:rsidRPr="009A175F">
        <w:rPr>
          <w:rFonts w:ascii="Garamond" w:hAnsi="Garamond" w:cs="Arial"/>
          <w:sz w:val="26"/>
          <w:szCs w:val="26"/>
        </w:rPr>
        <w:t>le fasi di affidamento dei contratti pubblici</w:t>
      </w:r>
      <w:r w:rsidRPr="009A175F">
        <w:rPr>
          <w:rFonts w:ascii="Garamond" w:hAnsi="Garamond" w:cs="Arial"/>
          <w:sz w:val="26"/>
          <w:szCs w:val="26"/>
        </w:rPr>
        <w:t xml:space="preserve"> - </w:t>
      </w:r>
      <w:r w:rsidR="00B45A5A" w:rsidRPr="009A175F">
        <w:rPr>
          <w:rFonts w:ascii="Garamond" w:hAnsi="Garamond" w:cs="Arial"/>
          <w:sz w:val="26"/>
          <w:szCs w:val="26"/>
        </w:rPr>
        <w:t>dalla programmazione e progettazione degli stessi</w:t>
      </w:r>
      <w:r w:rsidR="004B3FD9" w:rsidRPr="009A175F">
        <w:rPr>
          <w:rFonts w:ascii="Garamond" w:hAnsi="Garamond" w:cs="Arial"/>
          <w:sz w:val="26"/>
          <w:szCs w:val="26"/>
        </w:rPr>
        <w:t>,</w:t>
      </w:r>
      <w:r w:rsidR="00B45A5A" w:rsidRPr="009A175F">
        <w:rPr>
          <w:rFonts w:ascii="Garamond" w:hAnsi="Garamond" w:cs="Arial"/>
          <w:sz w:val="26"/>
          <w:szCs w:val="26"/>
        </w:rPr>
        <w:t xml:space="preserve"> all’affidamento e alla relativa esecuzione del contratto. </w:t>
      </w:r>
      <w:r w:rsidR="008D687B" w:rsidRPr="009A175F">
        <w:rPr>
          <w:rFonts w:ascii="Garamond" w:hAnsi="Garamond" w:cs="Arial"/>
          <w:sz w:val="26"/>
          <w:szCs w:val="26"/>
        </w:rPr>
        <w:t xml:space="preserve"> </w:t>
      </w:r>
    </w:p>
    <w:p w14:paraId="651AD569" w14:textId="77777777" w:rsidR="00B92605" w:rsidRPr="009A175F" w:rsidRDefault="00B45A5A" w:rsidP="00CA543E">
      <w:pPr>
        <w:autoSpaceDE w:val="0"/>
        <w:autoSpaceDN w:val="0"/>
        <w:adjustRightInd w:val="0"/>
        <w:spacing w:after="80" w:line="276" w:lineRule="auto"/>
        <w:jc w:val="both"/>
        <w:rPr>
          <w:rFonts w:ascii="Garamond" w:hAnsi="Garamond" w:cs="Arial"/>
          <w:sz w:val="26"/>
          <w:szCs w:val="26"/>
        </w:rPr>
      </w:pPr>
      <w:r w:rsidRPr="009A175F">
        <w:rPr>
          <w:rFonts w:ascii="Garamond" w:hAnsi="Garamond" w:cs="Arial"/>
          <w:sz w:val="26"/>
          <w:szCs w:val="26"/>
        </w:rPr>
        <w:t xml:space="preserve">Quest’ultima fase, </w:t>
      </w:r>
      <w:r w:rsidR="00B15BEF" w:rsidRPr="009A175F">
        <w:rPr>
          <w:rFonts w:ascii="Garamond" w:hAnsi="Garamond" w:cs="Arial"/>
          <w:sz w:val="26"/>
          <w:szCs w:val="26"/>
        </w:rPr>
        <w:t xml:space="preserve">notoriamente esposta a </w:t>
      </w:r>
      <w:r w:rsidR="00B92605" w:rsidRPr="009A175F">
        <w:rPr>
          <w:rFonts w:ascii="Garamond" w:hAnsi="Garamond" w:cs="Arial"/>
          <w:sz w:val="26"/>
          <w:szCs w:val="26"/>
        </w:rPr>
        <w:t xml:space="preserve">particolare </w:t>
      </w:r>
      <w:r w:rsidR="00D22909" w:rsidRPr="009A175F">
        <w:rPr>
          <w:rFonts w:ascii="Garamond" w:hAnsi="Garamond" w:cs="Arial"/>
          <w:sz w:val="26"/>
          <w:szCs w:val="26"/>
        </w:rPr>
        <w:t>criticità</w:t>
      </w:r>
      <w:r w:rsidRPr="009A175F">
        <w:rPr>
          <w:rFonts w:ascii="Garamond" w:hAnsi="Garamond" w:cs="Arial"/>
          <w:sz w:val="26"/>
          <w:szCs w:val="26"/>
        </w:rPr>
        <w:t>,</w:t>
      </w:r>
      <w:r w:rsidR="00D22909" w:rsidRPr="009A175F">
        <w:rPr>
          <w:rFonts w:ascii="Garamond" w:hAnsi="Garamond" w:cs="Arial"/>
          <w:sz w:val="26"/>
          <w:szCs w:val="26"/>
        </w:rPr>
        <w:t xml:space="preserve"> </w:t>
      </w:r>
      <w:r w:rsidRPr="009A175F">
        <w:rPr>
          <w:rFonts w:ascii="Garamond" w:hAnsi="Garamond" w:cs="Arial"/>
          <w:sz w:val="26"/>
          <w:szCs w:val="26"/>
        </w:rPr>
        <w:t>richiede un notevole sforzo di vigilanza da parte dell</w:t>
      </w:r>
      <w:r w:rsidR="00B92605" w:rsidRPr="009A175F">
        <w:rPr>
          <w:rFonts w:ascii="Garamond" w:hAnsi="Garamond" w:cs="Arial"/>
          <w:sz w:val="26"/>
          <w:szCs w:val="26"/>
        </w:rPr>
        <w:t>e SS.AA</w:t>
      </w:r>
      <w:r w:rsidR="004B3FD9" w:rsidRPr="009A175F">
        <w:rPr>
          <w:rFonts w:ascii="Garamond" w:hAnsi="Garamond" w:cs="Arial"/>
          <w:sz w:val="26"/>
          <w:szCs w:val="26"/>
        </w:rPr>
        <w:t xml:space="preserve">, in quanto è </w:t>
      </w:r>
      <w:r w:rsidR="00510DD2" w:rsidRPr="009A175F">
        <w:rPr>
          <w:rFonts w:ascii="Garamond" w:hAnsi="Garamond" w:cs="Arial"/>
          <w:sz w:val="26"/>
          <w:szCs w:val="26"/>
        </w:rPr>
        <w:t xml:space="preserve">quella in cui </w:t>
      </w:r>
      <w:r w:rsidR="004B3FD9" w:rsidRPr="009A175F">
        <w:rPr>
          <w:rFonts w:ascii="Garamond" w:hAnsi="Garamond" w:cs="Arial"/>
          <w:sz w:val="26"/>
          <w:szCs w:val="26"/>
        </w:rPr>
        <w:t xml:space="preserve">si realizza il fine dell'appalto, </w:t>
      </w:r>
      <w:r w:rsidR="00510DD2" w:rsidRPr="009A175F">
        <w:rPr>
          <w:rFonts w:ascii="Garamond" w:hAnsi="Garamond" w:cs="Arial"/>
          <w:sz w:val="26"/>
          <w:szCs w:val="26"/>
        </w:rPr>
        <w:t>per cui deve essere verificato</w:t>
      </w:r>
      <w:r w:rsidR="004B3FD9" w:rsidRPr="009A175F">
        <w:rPr>
          <w:rFonts w:ascii="Garamond" w:hAnsi="Garamond" w:cs="Arial"/>
          <w:sz w:val="26"/>
          <w:szCs w:val="26"/>
        </w:rPr>
        <w:t xml:space="preserve"> che le prestazioni avvengano a regola d'arte, nel rispetto di tempi, costi, qualità, sicurezza e </w:t>
      </w:r>
      <w:r w:rsidR="00510DD2" w:rsidRPr="009A175F">
        <w:rPr>
          <w:rFonts w:ascii="Garamond" w:hAnsi="Garamond" w:cs="Arial"/>
          <w:sz w:val="26"/>
          <w:szCs w:val="26"/>
        </w:rPr>
        <w:t xml:space="preserve">della </w:t>
      </w:r>
      <w:r w:rsidR="004B3FD9" w:rsidRPr="009A175F">
        <w:rPr>
          <w:rFonts w:ascii="Garamond" w:hAnsi="Garamond" w:cs="Arial"/>
          <w:sz w:val="26"/>
          <w:szCs w:val="26"/>
        </w:rPr>
        <w:t>normativa, evitando sprechi, ritardi, difetti e danni erariali, assicurando il corretto uso dei fondi pubblici, tramite ruoli chiave come il RUP e gli eventuali DEC e DL</w:t>
      </w:r>
      <w:r w:rsidR="00D22909" w:rsidRPr="009A175F">
        <w:rPr>
          <w:rFonts w:ascii="Garamond" w:hAnsi="Garamond" w:cs="Arial"/>
          <w:sz w:val="26"/>
          <w:szCs w:val="26"/>
        </w:rPr>
        <w:t>.</w:t>
      </w:r>
      <w:r w:rsidRPr="009A175F">
        <w:rPr>
          <w:rFonts w:ascii="Garamond" w:hAnsi="Garamond" w:cs="Arial"/>
          <w:sz w:val="26"/>
          <w:szCs w:val="26"/>
        </w:rPr>
        <w:t xml:space="preserve"> </w:t>
      </w:r>
    </w:p>
    <w:p w14:paraId="630CBA1B" w14:textId="7C253F59" w:rsidR="004B3FD9" w:rsidRPr="009A175F" w:rsidRDefault="004B3FD9" w:rsidP="00CA543E">
      <w:pPr>
        <w:autoSpaceDE w:val="0"/>
        <w:autoSpaceDN w:val="0"/>
        <w:adjustRightInd w:val="0"/>
        <w:spacing w:after="80" w:line="276" w:lineRule="auto"/>
        <w:jc w:val="both"/>
        <w:rPr>
          <w:rFonts w:ascii="Garamond" w:hAnsi="Garamond" w:cs="Arial"/>
          <w:sz w:val="26"/>
          <w:szCs w:val="26"/>
        </w:rPr>
      </w:pPr>
      <w:r w:rsidRPr="009A175F">
        <w:rPr>
          <w:rFonts w:ascii="Garamond" w:hAnsi="Garamond" w:cs="Arial"/>
          <w:sz w:val="26"/>
          <w:szCs w:val="26"/>
        </w:rPr>
        <w:t>L’assenza di verifiche sistematiche sull’esecuzione delle prestazioni contrattuali da parte del RUP</w:t>
      </w:r>
      <w:r w:rsidR="00B92605" w:rsidRPr="009A175F">
        <w:rPr>
          <w:rFonts w:ascii="Garamond" w:hAnsi="Garamond" w:cs="Arial"/>
          <w:sz w:val="26"/>
          <w:szCs w:val="26"/>
        </w:rPr>
        <w:t>/DEC</w:t>
      </w:r>
      <w:r w:rsidRPr="009A175F">
        <w:rPr>
          <w:rFonts w:ascii="Garamond" w:hAnsi="Garamond" w:cs="Arial"/>
          <w:sz w:val="26"/>
          <w:szCs w:val="26"/>
        </w:rPr>
        <w:t xml:space="preserve">, così come controlli tardivi o </w:t>
      </w:r>
      <w:r w:rsidR="00AB34B2">
        <w:rPr>
          <w:rFonts w:ascii="Garamond" w:hAnsi="Garamond" w:cs="Arial"/>
          <w:sz w:val="26"/>
          <w:szCs w:val="26"/>
        </w:rPr>
        <w:t xml:space="preserve">incompleti, </w:t>
      </w:r>
      <w:r w:rsidRPr="009A175F">
        <w:rPr>
          <w:rFonts w:ascii="Garamond" w:hAnsi="Garamond" w:cs="Arial"/>
          <w:sz w:val="26"/>
          <w:szCs w:val="26"/>
        </w:rPr>
        <w:t>possono age</w:t>
      </w:r>
      <w:r w:rsidR="00763E56" w:rsidRPr="009A175F">
        <w:rPr>
          <w:rFonts w:ascii="Garamond" w:hAnsi="Garamond" w:cs="Arial"/>
          <w:sz w:val="26"/>
          <w:szCs w:val="26"/>
        </w:rPr>
        <w:t>v</w:t>
      </w:r>
      <w:r w:rsidRPr="009A175F">
        <w:rPr>
          <w:rFonts w:ascii="Garamond" w:hAnsi="Garamond" w:cs="Arial"/>
          <w:sz w:val="26"/>
          <w:szCs w:val="26"/>
        </w:rPr>
        <w:t>olare condotte omissive da parte dell’appaltatore oppure un’esecuzione parziale o difforme da quanto stabilito nel contratto (ciò si pone in rilievo, in modo particolare, nei casi di appalti di servizi/lavori).</w:t>
      </w:r>
    </w:p>
    <w:p w14:paraId="30DC972B" w14:textId="267DD826" w:rsidR="001613DF" w:rsidRPr="00AB34B2" w:rsidRDefault="008850DE" w:rsidP="00AB34B2">
      <w:pPr>
        <w:autoSpaceDE w:val="0"/>
        <w:autoSpaceDN w:val="0"/>
        <w:adjustRightInd w:val="0"/>
        <w:spacing w:after="80" w:line="276" w:lineRule="auto"/>
        <w:jc w:val="both"/>
        <w:rPr>
          <w:rFonts w:ascii="Garamond" w:hAnsi="Garamond" w:cs="Arial"/>
          <w:sz w:val="26"/>
          <w:szCs w:val="26"/>
        </w:rPr>
      </w:pPr>
      <w:r w:rsidRPr="009A175F">
        <w:rPr>
          <w:rFonts w:ascii="Garamond" w:hAnsi="Garamond" w:cs="Arial"/>
          <w:sz w:val="26"/>
          <w:szCs w:val="26"/>
        </w:rPr>
        <w:t>Per</w:t>
      </w:r>
      <w:r w:rsidR="00763E56" w:rsidRPr="009A175F">
        <w:rPr>
          <w:rFonts w:ascii="Garamond" w:hAnsi="Garamond" w:cs="Arial"/>
          <w:sz w:val="26"/>
          <w:szCs w:val="26"/>
        </w:rPr>
        <w:t xml:space="preserve"> </w:t>
      </w:r>
      <w:r w:rsidR="00B92605" w:rsidRPr="009A175F">
        <w:rPr>
          <w:rFonts w:ascii="Garamond" w:hAnsi="Garamond" w:cs="Arial"/>
          <w:sz w:val="26"/>
          <w:szCs w:val="26"/>
        </w:rPr>
        <w:t>prevenire</w:t>
      </w:r>
      <w:r w:rsidRPr="009A175F">
        <w:rPr>
          <w:rFonts w:ascii="Garamond" w:hAnsi="Garamond" w:cs="Arial"/>
          <w:sz w:val="26"/>
          <w:szCs w:val="26"/>
        </w:rPr>
        <w:t xml:space="preserve"> tali rischi </w:t>
      </w:r>
      <w:r w:rsidR="00B92605" w:rsidRPr="009A175F">
        <w:rPr>
          <w:rFonts w:ascii="Garamond" w:hAnsi="Garamond" w:cs="Arial"/>
          <w:sz w:val="26"/>
          <w:szCs w:val="26"/>
        </w:rPr>
        <w:t xml:space="preserve">è necessario </w:t>
      </w:r>
      <w:r w:rsidR="00763E56" w:rsidRPr="009A175F">
        <w:rPr>
          <w:rFonts w:ascii="Garamond" w:hAnsi="Garamond" w:cs="Arial"/>
          <w:sz w:val="26"/>
          <w:szCs w:val="26"/>
        </w:rPr>
        <w:t>prevede</w:t>
      </w:r>
      <w:r w:rsidR="00B92605" w:rsidRPr="009A175F">
        <w:rPr>
          <w:rFonts w:ascii="Garamond" w:hAnsi="Garamond" w:cs="Arial"/>
          <w:sz w:val="26"/>
          <w:szCs w:val="26"/>
        </w:rPr>
        <w:t>re</w:t>
      </w:r>
      <w:r w:rsidR="00B212DA" w:rsidRPr="009A175F">
        <w:rPr>
          <w:rFonts w:ascii="Garamond" w:hAnsi="Garamond" w:cs="Arial"/>
          <w:sz w:val="26"/>
          <w:szCs w:val="26"/>
        </w:rPr>
        <w:t>:</w:t>
      </w:r>
      <w:r w:rsidR="00CB233C">
        <w:rPr>
          <w:rFonts w:ascii="Garamond" w:hAnsi="Garamond" w:cs="Arial"/>
          <w:sz w:val="26"/>
          <w:szCs w:val="26"/>
        </w:rPr>
        <w:t xml:space="preserve"> </w:t>
      </w:r>
      <w:r w:rsidR="00CB233C" w:rsidRPr="00421AB1">
        <w:rPr>
          <w:rFonts w:ascii="Garamond" w:hAnsi="Garamond" w:cs="Arial"/>
          <w:i/>
          <w:iCs/>
          <w:sz w:val="26"/>
          <w:szCs w:val="26"/>
        </w:rPr>
        <w:t>a)</w:t>
      </w:r>
      <w:r w:rsidR="00421AB1">
        <w:rPr>
          <w:rFonts w:ascii="Garamond" w:hAnsi="Garamond" w:cs="Arial"/>
          <w:i/>
          <w:iCs/>
          <w:sz w:val="26"/>
          <w:szCs w:val="26"/>
        </w:rPr>
        <w:t xml:space="preserve"> </w:t>
      </w:r>
      <w:r w:rsidR="00EB7954" w:rsidRPr="00CB233C">
        <w:rPr>
          <w:rFonts w:ascii="Garamond" w:hAnsi="Garamond" w:cs="Arial"/>
          <w:sz w:val="26"/>
          <w:szCs w:val="26"/>
        </w:rPr>
        <w:t>una specifica</w:t>
      </w:r>
      <w:r w:rsidR="00B92605" w:rsidRPr="00CB233C">
        <w:rPr>
          <w:rFonts w:ascii="Garamond" w:hAnsi="Garamond" w:cs="Arial"/>
          <w:sz w:val="26"/>
          <w:szCs w:val="26"/>
        </w:rPr>
        <w:t xml:space="preserve"> e</w:t>
      </w:r>
      <w:r w:rsidR="001613DF" w:rsidRPr="00CB233C">
        <w:rPr>
          <w:rFonts w:ascii="Garamond" w:hAnsi="Garamond" w:cs="Arial"/>
          <w:sz w:val="26"/>
          <w:szCs w:val="26"/>
        </w:rPr>
        <w:t xml:space="preserve"> </w:t>
      </w:r>
      <w:r w:rsidR="00B92605" w:rsidRPr="00CB233C">
        <w:rPr>
          <w:rFonts w:ascii="Garamond" w:hAnsi="Garamond" w:cs="Arial"/>
          <w:sz w:val="26"/>
          <w:szCs w:val="26"/>
        </w:rPr>
        <w:t>continuativa</w:t>
      </w:r>
      <w:r w:rsidR="00EB7954" w:rsidRPr="00CB233C">
        <w:rPr>
          <w:rFonts w:ascii="Garamond" w:hAnsi="Garamond" w:cs="Arial"/>
          <w:sz w:val="26"/>
          <w:szCs w:val="26"/>
        </w:rPr>
        <w:t xml:space="preserve"> formazione ai dipendenti</w:t>
      </w:r>
      <w:r w:rsidR="00A17182" w:rsidRPr="00CB233C">
        <w:rPr>
          <w:rFonts w:ascii="Garamond" w:hAnsi="Garamond" w:cs="Arial"/>
          <w:sz w:val="26"/>
          <w:szCs w:val="26"/>
        </w:rPr>
        <w:t xml:space="preserve"> addetti a</w:t>
      </w:r>
      <w:r w:rsidR="00510DD2" w:rsidRPr="00CB233C">
        <w:rPr>
          <w:rFonts w:ascii="Garamond" w:hAnsi="Garamond" w:cs="Arial"/>
          <w:sz w:val="26"/>
          <w:szCs w:val="26"/>
        </w:rPr>
        <w:t>lle attività di affidamento di contratti pubblici</w:t>
      </w:r>
      <w:r w:rsidR="00EB7954" w:rsidRPr="00CB233C">
        <w:rPr>
          <w:rFonts w:ascii="Garamond" w:hAnsi="Garamond" w:cs="Arial"/>
          <w:sz w:val="26"/>
          <w:szCs w:val="26"/>
        </w:rPr>
        <w:t xml:space="preserve"> </w:t>
      </w:r>
      <w:r w:rsidR="00A17182" w:rsidRPr="00CB233C">
        <w:rPr>
          <w:rFonts w:ascii="Garamond" w:hAnsi="Garamond" w:cs="Arial"/>
          <w:sz w:val="26"/>
          <w:szCs w:val="26"/>
        </w:rPr>
        <w:t>ed</w:t>
      </w:r>
      <w:r w:rsidR="00510DD2" w:rsidRPr="00CB233C">
        <w:rPr>
          <w:rFonts w:ascii="Garamond" w:hAnsi="Garamond" w:cs="Arial"/>
          <w:sz w:val="26"/>
          <w:szCs w:val="26"/>
        </w:rPr>
        <w:t xml:space="preserve"> in particolare</w:t>
      </w:r>
      <w:r w:rsidR="00A17182" w:rsidRPr="00CB233C">
        <w:rPr>
          <w:rFonts w:ascii="Garamond" w:hAnsi="Garamond" w:cs="Arial"/>
          <w:sz w:val="26"/>
          <w:szCs w:val="26"/>
        </w:rPr>
        <w:t xml:space="preserve"> </w:t>
      </w:r>
      <w:r w:rsidR="001F4216" w:rsidRPr="00CB233C">
        <w:rPr>
          <w:rFonts w:ascii="Garamond" w:hAnsi="Garamond" w:cs="Arial"/>
          <w:sz w:val="26"/>
          <w:szCs w:val="26"/>
        </w:rPr>
        <w:t xml:space="preserve">ai </w:t>
      </w:r>
      <w:r w:rsidR="00A17182" w:rsidRPr="00CB233C">
        <w:rPr>
          <w:rFonts w:ascii="Garamond" w:hAnsi="Garamond" w:cs="Arial"/>
          <w:sz w:val="26"/>
          <w:szCs w:val="26"/>
        </w:rPr>
        <w:t>RUP</w:t>
      </w:r>
      <w:r w:rsidR="00B92605" w:rsidRPr="00CB233C">
        <w:rPr>
          <w:rFonts w:ascii="Garamond" w:hAnsi="Garamond" w:cs="Arial"/>
          <w:sz w:val="26"/>
          <w:szCs w:val="26"/>
        </w:rPr>
        <w:t>, DEC, DO e DL</w:t>
      </w:r>
      <w:r w:rsidR="006C15B0" w:rsidRPr="00CB233C">
        <w:rPr>
          <w:rFonts w:ascii="Garamond" w:hAnsi="Garamond" w:cs="Arial"/>
          <w:sz w:val="26"/>
          <w:szCs w:val="26"/>
        </w:rPr>
        <w:t>;</w:t>
      </w:r>
      <w:r w:rsidR="00421AB1">
        <w:rPr>
          <w:rFonts w:ascii="Garamond" w:hAnsi="Garamond" w:cs="Arial"/>
          <w:sz w:val="26"/>
          <w:szCs w:val="26"/>
        </w:rPr>
        <w:t xml:space="preserve"> </w:t>
      </w:r>
      <w:r w:rsidR="00421AB1" w:rsidRPr="00421AB1">
        <w:rPr>
          <w:rFonts w:ascii="Garamond" w:hAnsi="Garamond" w:cs="Arial"/>
          <w:i/>
          <w:iCs/>
          <w:sz w:val="26"/>
          <w:szCs w:val="26"/>
        </w:rPr>
        <w:t>b)</w:t>
      </w:r>
      <w:r w:rsidR="00421AB1">
        <w:rPr>
          <w:rFonts w:ascii="Garamond" w:hAnsi="Garamond" w:cs="Arial"/>
          <w:sz w:val="26"/>
          <w:szCs w:val="26"/>
        </w:rPr>
        <w:t xml:space="preserve"> </w:t>
      </w:r>
      <w:r w:rsidR="006C15B0" w:rsidRPr="007A029C">
        <w:rPr>
          <w:rFonts w:ascii="Garamond" w:hAnsi="Garamond" w:cs="Arial"/>
          <w:sz w:val="26"/>
          <w:szCs w:val="26"/>
        </w:rPr>
        <w:t xml:space="preserve">che </w:t>
      </w:r>
      <w:r w:rsidR="001613DF" w:rsidRPr="007A029C">
        <w:rPr>
          <w:rFonts w:ascii="Garamond" w:hAnsi="Garamond" w:cs="Arial"/>
          <w:sz w:val="26"/>
          <w:szCs w:val="26"/>
        </w:rPr>
        <w:t xml:space="preserve">in caso di appalto </w:t>
      </w:r>
      <w:r w:rsidR="00335D43">
        <w:rPr>
          <w:rFonts w:ascii="Garamond" w:hAnsi="Garamond" w:cs="Arial"/>
          <w:sz w:val="26"/>
          <w:szCs w:val="26"/>
        </w:rPr>
        <w:t>con</w:t>
      </w:r>
      <w:r w:rsidR="001613DF" w:rsidRPr="007A029C">
        <w:rPr>
          <w:rFonts w:ascii="Garamond" w:hAnsi="Garamond" w:cs="Arial"/>
          <w:sz w:val="26"/>
          <w:szCs w:val="26"/>
        </w:rPr>
        <w:t xml:space="preserve"> potenziali</w:t>
      </w:r>
      <w:r w:rsidR="006C15B0" w:rsidRPr="007A029C">
        <w:rPr>
          <w:rFonts w:ascii="Garamond" w:hAnsi="Garamond" w:cs="Arial"/>
          <w:sz w:val="26"/>
          <w:szCs w:val="26"/>
        </w:rPr>
        <w:t xml:space="preserve"> criticità nell’esecuzione </w:t>
      </w:r>
      <w:r w:rsidR="001613DF" w:rsidRPr="007A029C">
        <w:rPr>
          <w:rFonts w:ascii="Garamond" w:hAnsi="Garamond" w:cs="Arial"/>
          <w:sz w:val="26"/>
          <w:szCs w:val="26"/>
        </w:rPr>
        <w:t>siano</w:t>
      </w:r>
      <w:r w:rsidR="006C15B0" w:rsidRPr="007A029C">
        <w:rPr>
          <w:rFonts w:ascii="Garamond" w:hAnsi="Garamond" w:cs="Arial"/>
          <w:sz w:val="26"/>
          <w:szCs w:val="26"/>
        </w:rPr>
        <w:t xml:space="preserve"> programmate</w:t>
      </w:r>
      <w:r w:rsidR="001613DF" w:rsidRPr="007A029C">
        <w:rPr>
          <w:rFonts w:ascii="Garamond" w:hAnsi="Garamond" w:cs="Arial"/>
          <w:sz w:val="26"/>
          <w:szCs w:val="26"/>
        </w:rPr>
        <w:t xml:space="preserve"> - </w:t>
      </w:r>
      <w:r w:rsidR="006C15B0" w:rsidRPr="007A029C">
        <w:rPr>
          <w:rFonts w:ascii="Garamond" w:hAnsi="Garamond" w:cs="Arial"/>
          <w:sz w:val="26"/>
          <w:szCs w:val="26"/>
        </w:rPr>
        <w:t xml:space="preserve">a monte </w:t>
      </w:r>
      <w:r w:rsidR="00AB34B2">
        <w:rPr>
          <w:rFonts w:ascii="Garamond" w:hAnsi="Garamond" w:cs="Arial"/>
          <w:sz w:val="26"/>
          <w:szCs w:val="26"/>
        </w:rPr>
        <w:t>–</w:t>
      </w:r>
      <w:r w:rsidR="006C15B0" w:rsidRPr="007A029C">
        <w:rPr>
          <w:rFonts w:ascii="Garamond" w:hAnsi="Garamond" w:cs="Arial"/>
          <w:sz w:val="26"/>
          <w:szCs w:val="26"/>
        </w:rPr>
        <w:t xml:space="preserve"> </w:t>
      </w:r>
      <w:r w:rsidR="00AB34B2">
        <w:rPr>
          <w:rFonts w:ascii="Garamond" w:hAnsi="Garamond" w:cs="Arial"/>
          <w:sz w:val="26"/>
          <w:szCs w:val="26"/>
        </w:rPr>
        <w:t>da parte del</w:t>
      </w:r>
      <w:r w:rsidR="006C15B0" w:rsidRPr="007A029C">
        <w:rPr>
          <w:rFonts w:ascii="Garamond" w:hAnsi="Garamond" w:cs="Arial"/>
          <w:sz w:val="26"/>
          <w:szCs w:val="26"/>
        </w:rPr>
        <w:t xml:space="preserve"> RUP</w:t>
      </w:r>
      <w:r w:rsidR="00AB34B2">
        <w:rPr>
          <w:rFonts w:ascii="Garamond" w:hAnsi="Garamond" w:cs="Arial"/>
          <w:sz w:val="26"/>
          <w:szCs w:val="26"/>
        </w:rPr>
        <w:t xml:space="preserve">, </w:t>
      </w:r>
      <w:r w:rsidR="006C15B0" w:rsidRPr="007A029C">
        <w:rPr>
          <w:rFonts w:ascii="Garamond" w:hAnsi="Garamond" w:cs="Arial"/>
          <w:sz w:val="26"/>
          <w:szCs w:val="26"/>
        </w:rPr>
        <w:t>modalità di verifica</w:t>
      </w:r>
      <w:r w:rsidR="001613DF" w:rsidRPr="007A029C">
        <w:rPr>
          <w:rFonts w:ascii="Garamond" w:hAnsi="Garamond" w:cs="Arial"/>
          <w:sz w:val="26"/>
          <w:szCs w:val="26"/>
        </w:rPr>
        <w:t xml:space="preserve"> </w:t>
      </w:r>
      <w:r w:rsidR="006C15B0" w:rsidRPr="007A029C">
        <w:rPr>
          <w:rFonts w:ascii="Garamond" w:hAnsi="Garamond" w:cs="Arial"/>
          <w:sz w:val="26"/>
          <w:szCs w:val="26"/>
        </w:rPr>
        <w:t>del</w:t>
      </w:r>
      <w:r w:rsidR="001613DF" w:rsidRPr="007A029C">
        <w:rPr>
          <w:rFonts w:ascii="Garamond" w:hAnsi="Garamond" w:cs="Arial"/>
          <w:sz w:val="26"/>
          <w:szCs w:val="26"/>
        </w:rPr>
        <w:t xml:space="preserve">la regolare </w:t>
      </w:r>
      <w:r w:rsidR="006C15B0" w:rsidRPr="007A029C">
        <w:rPr>
          <w:rFonts w:ascii="Garamond" w:hAnsi="Garamond" w:cs="Arial"/>
          <w:sz w:val="26"/>
          <w:szCs w:val="26"/>
        </w:rPr>
        <w:t>esecuzione delle prestazioni contrattuali,</w:t>
      </w:r>
      <w:r w:rsidR="001613DF" w:rsidRPr="007A029C">
        <w:rPr>
          <w:rFonts w:ascii="Garamond" w:hAnsi="Garamond" w:cs="Arial"/>
          <w:sz w:val="26"/>
          <w:szCs w:val="26"/>
        </w:rPr>
        <w:t xml:space="preserve"> </w:t>
      </w:r>
      <w:r w:rsidR="000741E6">
        <w:rPr>
          <w:rFonts w:ascii="Garamond" w:hAnsi="Garamond" w:cs="Arial"/>
          <w:sz w:val="26"/>
          <w:szCs w:val="26"/>
        </w:rPr>
        <w:t xml:space="preserve">che </w:t>
      </w:r>
      <w:r w:rsidR="001613DF" w:rsidRPr="007A029C">
        <w:rPr>
          <w:rFonts w:ascii="Garamond" w:hAnsi="Garamond" w:cs="Arial"/>
          <w:sz w:val="26"/>
          <w:szCs w:val="26"/>
        </w:rPr>
        <w:t xml:space="preserve">siano costanti, </w:t>
      </w:r>
      <w:r w:rsidR="006C15B0" w:rsidRPr="007A029C">
        <w:rPr>
          <w:rFonts w:ascii="Garamond" w:hAnsi="Garamond" w:cs="Arial"/>
          <w:sz w:val="26"/>
          <w:szCs w:val="26"/>
        </w:rPr>
        <w:t xml:space="preserve">sistematiche </w:t>
      </w:r>
      <w:r w:rsidR="001613DF" w:rsidRPr="007A029C">
        <w:rPr>
          <w:rFonts w:ascii="Garamond" w:hAnsi="Garamond" w:cs="Arial"/>
          <w:sz w:val="26"/>
          <w:szCs w:val="26"/>
        </w:rPr>
        <w:t xml:space="preserve">e </w:t>
      </w:r>
      <w:r w:rsidR="006C15B0" w:rsidRPr="007A029C">
        <w:rPr>
          <w:rFonts w:ascii="Garamond" w:hAnsi="Garamond" w:cs="Arial"/>
          <w:sz w:val="26"/>
          <w:szCs w:val="26"/>
        </w:rPr>
        <w:t xml:space="preserve">periodiche (soprattutto nel caso di contratti pluriennali); </w:t>
      </w:r>
      <w:r w:rsidR="000741E6" w:rsidRPr="000741E6">
        <w:rPr>
          <w:rFonts w:ascii="Garamond" w:hAnsi="Garamond" w:cs="Arial"/>
          <w:i/>
          <w:iCs/>
          <w:sz w:val="26"/>
          <w:szCs w:val="26"/>
        </w:rPr>
        <w:t>c)</w:t>
      </w:r>
      <w:r w:rsidR="000741E6">
        <w:rPr>
          <w:rFonts w:ascii="Garamond" w:hAnsi="Garamond" w:cs="Arial"/>
          <w:sz w:val="26"/>
          <w:szCs w:val="26"/>
        </w:rPr>
        <w:t xml:space="preserve"> </w:t>
      </w:r>
      <w:r w:rsidR="001613DF" w:rsidRPr="000741E6">
        <w:rPr>
          <w:rFonts w:ascii="Garamond" w:hAnsi="Garamond" w:cs="Arial"/>
          <w:sz w:val="26"/>
          <w:szCs w:val="26"/>
        </w:rPr>
        <w:t xml:space="preserve">l’utilizzo ampio di </w:t>
      </w:r>
      <w:r w:rsidR="006C15B0" w:rsidRPr="000741E6">
        <w:rPr>
          <w:rFonts w:ascii="Garamond" w:hAnsi="Garamond" w:cs="Arial"/>
          <w:sz w:val="26"/>
          <w:szCs w:val="26"/>
        </w:rPr>
        <w:t xml:space="preserve">strumenti </w:t>
      </w:r>
      <w:r w:rsidR="00510DD2" w:rsidRPr="000741E6">
        <w:rPr>
          <w:rFonts w:ascii="Garamond" w:hAnsi="Garamond" w:cs="Arial"/>
          <w:sz w:val="26"/>
          <w:szCs w:val="26"/>
        </w:rPr>
        <w:t>digitali</w:t>
      </w:r>
      <w:r w:rsidR="006C15B0" w:rsidRPr="000741E6">
        <w:rPr>
          <w:rFonts w:ascii="Garamond" w:hAnsi="Garamond" w:cs="Arial"/>
          <w:sz w:val="26"/>
          <w:szCs w:val="26"/>
        </w:rPr>
        <w:t xml:space="preserve"> per monitorare l’esecuzione</w:t>
      </w:r>
      <w:r w:rsidR="00A6051D">
        <w:rPr>
          <w:rFonts w:ascii="Garamond" w:hAnsi="Garamond" w:cs="Arial"/>
          <w:sz w:val="26"/>
          <w:szCs w:val="26"/>
        </w:rPr>
        <w:t>,</w:t>
      </w:r>
      <w:r w:rsidR="006C15B0" w:rsidRPr="000741E6">
        <w:rPr>
          <w:rFonts w:ascii="Garamond" w:hAnsi="Garamond" w:cs="Arial"/>
          <w:sz w:val="26"/>
          <w:szCs w:val="26"/>
        </w:rPr>
        <w:t xml:space="preserve"> con l’obbligo di rilascio periodico delle attestazioni di regolare esecuzione (per es. richiede</w:t>
      </w:r>
      <w:r w:rsidR="00AB34B2">
        <w:rPr>
          <w:rFonts w:ascii="Garamond" w:hAnsi="Garamond" w:cs="Arial"/>
          <w:sz w:val="26"/>
          <w:szCs w:val="26"/>
        </w:rPr>
        <w:t>ndo,</w:t>
      </w:r>
      <w:r w:rsidR="006C15B0" w:rsidRPr="000741E6">
        <w:rPr>
          <w:rFonts w:ascii="Garamond" w:hAnsi="Garamond" w:cs="Arial"/>
          <w:sz w:val="26"/>
          <w:szCs w:val="26"/>
        </w:rPr>
        <w:t xml:space="preserve"> negli atti pr</w:t>
      </w:r>
      <w:r w:rsidR="001613DF" w:rsidRPr="000741E6">
        <w:rPr>
          <w:rFonts w:ascii="Garamond" w:hAnsi="Garamond" w:cs="Arial"/>
          <w:sz w:val="26"/>
          <w:szCs w:val="26"/>
        </w:rPr>
        <w:t>ocedurali</w:t>
      </w:r>
      <w:r w:rsidR="00AB34B2">
        <w:rPr>
          <w:rFonts w:ascii="Garamond" w:hAnsi="Garamond" w:cs="Arial"/>
          <w:sz w:val="26"/>
          <w:szCs w:val="26"/>
        </w:rPr>
        <w:t>,</w:t>
      </w:r>
      <w:r w:rsidR="001613DF" w:rsidRPr="000741E6">
        <w:rPr>
          <w:rFonts w:ascii="Garamond" w:hAnsi="Garamond" w:cs="Arial"/>
          <w:sz w:val="26"/>
          <w:szCs w:val="26"/>
        </w:rPr>
        <w:t xml:space="preserve"> </w:t>
      </w:r>
      <w:r w:rsidR="006C15B0" w:rsidRPr="000741E6">
        <w:rPr>
          <w:rFonts w:ascii="Garamond" w:hAnsi="Garamond" w:cs="Arial"/>
          <w:sz w:val="26"/>
          <w:szCs w:val="26"/>
        </w:rPr>
        <w:t>che l’Operatore economico sia in possesso di piattaforme, ormai di uso comune, utili al monitoraggio dell’esecuzione contrattuale)</w:t>
      </w:r>
      <w:r w:rsidR="00A6051D">
        <w:rPr>
          <w:rFonts w:ascii="Garamond" w:hAnsi="Garamond" w:cs="Arial"/>
          <w:sz w:val="26"/>
          <w:szCs w:val="26"/>
        </w:rPr>
        <w:t>.</w:t>
      </w:r>
    </w:p>
    <w:p w14:paraId="04A1072F" w14:textId="6D478C3C" w:rsidR="00763E56" w:rsidRPr="00A6051D" w:rsidRDefault="00510DD2" w:rsidP="00CA543E">
      <w:pPr>
        <w:autoSpaceDE w:val="0"/>
        <w:autoSpaceDN w:val="0"/>
        <w:adjustRightInd w:val="0"/>
        <w:spacing w:after="80" w:line="276" w:lineRule="auto"/>
        <w:jc w:val="both"/>
        <w:rPr>
          <w:rFonts w:ascii="Garamond" w:hAnsi="Garamond" w:cs="Arial"/>
          <w:sz w:val="26"/>
          <w:szCs w:val="26"/>
        </w:rPr>
      </w:pPr>
      <w:r w:rsidRPr="00A6051D">
        <w:rPr>
          <w:rFonts w:ascii="Garamond" w:hAnsi="Garamond" w:cs="Arial"/>
          <w:sz w:val="26"/>
          <w:szCs w:val="26"/>
        </w:rPr>
        <w:t xml:space="preserve">La </w:t>
      </w:r>
      <w:r w:rsidR="001613DF" w:rsidRPr="00A6051D">
        <w:rPr>
          <w:rFonts w:ascii="Garamond" w:hAnsi="Garamond" w:cs="Arial"/>
          <w:sz w:val="26"/>
          <w:szCs w:val="26"/>
        </w:rPr>
        <w:t xml:space="preserve">gestione digitalizzata della fase esecutiva deve anche comprendere </w:t>
      </w:r>
      <w:r w:rsidR="00763E56" w:rsidRPr="00A6051D">
        <w:rPr>
          <w:rFonts w:ascii="Garamond" w:hAnsi="Garamond" w:cs="Arial"/>
          <w:sz w:val="26"/>
          <w:szCs w:val="26"/>
        </w:rPr>
        <w:t xml:space="preserve">le eventuali modifiche contrattuali e richieste/autorizzazioni di subappalto </w:t>
      </w:r>
      <w:r w:rsidR="001613DF" w:rsidRPr="00A6051D">
        <w:rPr>
          <w:rFonts w:ascii="Garamond" w:hAnsi="Garamond" w:cs="Arial"/>
          <w:sz w:val="26"/>
          <w:szCs w:val="26"/>
        </w:rPr>
        <w:t>con necessità di conseguente aggiornamento</w:t>
      </w:r>
      <w:r w:rsidR="00AB34B2">
        <w:rPr>
          <w:rFonts w:ascii="Garamond" w:hAnsi="Garamond" w:cs="Arial"/>
          <w:sz w:val="26"/>
          <w:szCs w:val="26"/>
        </w:rPr>
        <w:t xml:space="preserve"> delle piattaforme</w:t>
      </w:r>
      <w:r w:rsidR="001613DF" w:rsidRPr="00A6051D">
        <w:rPr>
          <w:rFonts w:ascii="Garamond" w:hAnsi="Garamond" w:cs="Arial"/>
          <w:sz w:val="26"/>
          <w:szCs w:val="26"/>
        </w:rPr>
        <w:t>.</w:t>
      </w:r>
    </w:p>
    <w:p w14:paraId="2D27606A" w14:textId="14934551" w:rsidR="00AD7C09" w:rsidRPr="004B1FA2" w:rsidRDefault="004B1FA2" w:rsidP="00CA543E">
      <w:pPr>
        <w:autoSpaceDE w:val="0"/>
        <w:autoSpaceDN w:val="0"/>
        <w:adjustRightInd w:val="0"/>
        <w:spacing w:after="80" w:line="276" w:lineRule="auto"/>
        <w:jc w:val="both"/>
        <w:rPr>
          <w:rFonts w:ascii="Garamond" w:hAnsi="Garamond" w:cs="Arial"/>
          <w:sz w:val="26"/>
          <w:szCs w:val="26"/>
        </w:rPr>
      </w:pPr>
      <w:r w:rsidRPr="004B1FA2">
        <w:rPr>
          <w:rFonts w:ascii="Garamond" w:hAnsi="Garamond" w:cs="Arial"/>
          <w:sz w:val="26"/>
          <w:szCs w:val="26"/>
        </w:rPr>
        <w:lastRenderedPageBreak/>
        <w:t xml:space="preserve">Ulteriore </w:t>
      </w:r>
      <w:r w:rsidR="00063CA5" w:rsidRPr="004B1FA2">
        <w:rPr>
          <w:rFonts w:ascii="Garamond" w:hAnsi="Garamond" w:cs="Arial"/>
          <w:sz w:val="26"/>
          <w:szCs w:val="26"/>
        </w:rPr>
        <w:t>rischio</w:t>
      </w:r>
      <w:r w:rsidR="00BC00B9" w:rsidRPr="004B1FA2">
        <w:rPr>
          <w:rFonts w:ascii="Garamond" w:hAnsi="Garamond" w:cs="Arial"/>
          <w:sz w:val="26"/>
          <w:szCs w:val="26"/>
        </w:rPr>
        <w:t xml:space="preserve"> emerso riguarda </w:t>
      </w:r>
      <w:r w:rsidR="009D3DAA" w:rsidRPr="004B1FA2">
        <w:rPr>
          <w:rFonts w:ascii="Garamond" w:hAnsi="Garamond" w:cs="Arial"/>
          <w:sz w:val="26"/>
          <w:szCs w:val="26"/>
        </w:rPr>
        <w:t>l’erroneo utilizzo del FVO</w:t>
      </w:r>
      <w:r w:rsidR="006C07EE" w:rsidRPr="004B1FA2">
        <w:rPr>
          <w:rFonts w:ascii="Garamond" w:hAnsi="Garamond" w:cs="Arial"/>
          <w:sz w:val="26"/>
          <w:szCs w:val="26"/>
        </w:rPr>
        <w:t>E</w:t>
      </w:r>
      <w:r w:rsidR="00510DD2" w:rsidRPr="004B1FA2">
        <w:rPr>
          <w:rFonts w:ascii="Garamond" w:hAnsi="Garamond" w:cs="Arial"/>
          <w:sz w:val="26"/>
          <w:szCs w:val="26"/>
        </w:rPr>
        <w:t xml:space="preserve">, </w:t>
      </w:r>
      <w:r w:rsidR="005A2DD8" w:rsidRPr="004B1FA2">
        <w:rPr>
          <w:rFonts w:ascii="Garamond" w:hAnsi="Garamond" w:cs="Arial"/>
          <w:sz w:val="26"/>
          <w:szCs w:val="26"/>
        </w:rPr>
        <w:t>obbligatorio per tutti gli affidamenti di importo pari o superiore a 40.000</w:t>
      </w:r>
      <w:r w:rsidR="00510DD2" w:rsidRPr="004B1FA2">
        <w:rPr>
          <w:rFonts w:ascii="Garamond" w:hAnsi="Garamond" w:cs="Arial"/>
          <w:sz w:val="26"/>
          <w:szCs w:val="26"/>
        </w:rPr>
        <w:t xml:space="preserve"> </w:t>
      </w:r>
      <w:r w:rsidR="005A2DD8" w:rsidRPr="004B1FA2">
        <w:rPr>
          <w:rFonts w:ascii="Garamond" w:hAnsi="Garamond" w:cs="Arial"/>
          <w:sz w:val="26"/>
          <w:szCs w:val="26"/>
        </w:rPr>
        <w:t>euro</w:t>
      </w:r>
      <w:r w:rsidR="00773EB8" w:rsidRPr="004B1FA2">
        <w:rPr>
          <w:rFonts w:ascii="Garamond" w:hAnsi="Garamond" w:cs="Arial"/>
          <w:sz w:val="26"/>
          <w:szCs w:val="26"/>
        </w:rPr>
        <w:t>, indipendentemente dalla tipologia di procedura utilizzata</w:t>
      </w:r>
      <w:r w:rsidR="00AD7C09" w:rsidRPr="004B1FA2">
        <w:rPr>
          <w:rFonts w:ascii="Garamond" w:hAnsi="Garamond" w:cs="Arial"/>
          <w:sz w:val="26"/>
          <w:szCs w:val="26"/>
        </w:rPr>
        <w:t xml:space="preserve"> (invece </w:t>
      </w:r>
      <w:r w:rsidR="00773EB8" w:rsidRPr="004B1FA2">
        <w:rPr>
          <w:rFonts w:ascii="Garamond" w:hAnsi="Garamond" w:cs="Arial"/>
          <w:sz w:val="26"/>
          <w:szCs w:val="26"/>
        </w:rPr>
        <w:t xml:space="preserve">facoltativo per le procedure </w:t>
      </w:r>
      <w:r w:rsidR="00AD7C09" w:rsidRPr="004B1FA2">
        <w:rPr>
          <w:rFonts w:ascii="Garamond" w:hAnsi="Garamond" w:cs="Arial"/>
          <w:sz w:val="26"/>
          <w:szCs w:val="26"/>
        </w:rPr>
        <w:t xml:space="preserve">di importo inferiore) </w:t>
      </w:r>
      <w:r w:rsidR="00773EB8" w:rsidRPr="004B1FA2">
        <w:rPr>
          <w:rFonts w:ascii="Garamond" w:hAnsi="Garamond" w:cs="Arial"/>
          <w:sz w:val="26"/>
          <w:szCs w:val="26"/>
        </w:rPr>
        <w:t xml:space="preserve">per </w:t>
      </w:r>
      <w:r w:rsidR="001613DF" w:rsidRPr="004B1FA2">
        <w:rPr>
          <w:rFonts w:ascii="Garamond" w:hAnsi="Garamond" w:cs="Arial"/>
          <w:sz w:val="26"/>
          <w:szCs w:val="26"/>
        </w:rPr>
        <w:t>cui</w:t>
      </w:r>
      <w:r w:rsidR="00773EB8" w:rsidRPr="004B1FA2">
        <w:rPr>
          <w:rFonts w:ascii="Garamond" w:hAnsi="Garamond" w:cs="Arial"/>
          <w:sz w:val="26"/>
          <w:szCs w:val="26"/>
        </w:rPr>
        <w:t xml:space="preserve"> i </w:t>
      </w:r>
      <w:r w:rsidR="004234B9" w:rsidRPr="004B1FA2">
        <w:rPr>
          <w:rFonts w:ascii="Garamond" w:hAnsi="Garamond" w:cs="Arial"/>
          <w:sz w:val="26"/>
          <w:szCs w:val="26"/>
        </w:rPr>
        <w:t>documenti</w:t>
      </w:r>
      <w:r w:rsidR="00773EB8" w:rsidRPr="004B1FA2">
        <w:rPr>
          <w:rFonts w:ascii="Garamond" w:hAnsi="Garamond" w:cs="Arial"/>
          <w:sz w:val="26"/>
          <w:szCs w:val="26"/>
        </w:rPr>
        <w:t xml:space="preserve"> </w:t>
      </w:r>
      <w:r w:rsidR="004234B9" w:rsidRPr="004B1FA2">
        <w:rPr>
          <w:rFonts w:ascii="Garamond" w:hAnsi="Garamond" w:cs="Arial"/>
          <w:sz w:val="26"/>
          <w:szCs w:val="26"/>
        </w:rPr>
        <w:t>possono</w:t>
      </w:r>
      <w:r w:rsidR="00773EB8" w:rsidRPr="004B1FA2">
        <w:rPr>
          <w:rFonts w:ascii="Garamond" w:hAnsi="Garamond" w:cs="Arial"/>
          <w:sz w:val="26"/>
          <w:szCs w:val="26"/>
        </w:rPr>
        <w:t xml:space="preserve"> essere</w:t>
      </w:r>
      <w:r w:rsidR="004234B9" w:rsidRPr="004B1FA2">
        <w:rPr>
          <w:rFonts w:ascii="Garamond" w:hAnsi="Garamond" w:cs="Arial"/>
          <w:sz w:val="26"/>
          <w:szCs w:val="26"/>
        </w:rPr>
        <w:t xml:space="preserve"> acquisiti direttamente presso g</w:t>
      </w:r>
      <w:r w:rsidR="00AB34B2">
        <w:rPr>
          <w:rFonts w:ascii="Garamond" w:hAnsi="Garamond" w:cs="Arial"/>
          <w:sz w:val="26"/>
          <w:szCs w:val="26"/>
        </w:rPr>
        <w:t xml:space="preserve">li </w:t>
      </w:r>
      <w:r w:rsidR="004234B9" w:rsidRPr="004B1FA2">
        <w:rPr>
          <w:rFonts w:ascii="Garamond" w:hAnsi="Garamond" w:cs="Arial"/>
          <w:sz w:val="26"/>
          <w:szCs w:val="26"/>
        </w:rPr>
        <w:t>enti certificanti.</w:t>
      </w:r>
      <w:r w:rsidR="004838E4" w:rsidRPr="004B1FA2">
        <w:rPr>
          <w:rFonts w:ascii="Garamond" w:hAnsi="Garamond" w:cs="Arial"/>
          <w:sz w:val="26"/>
          <w:szCs w:val="26"/>
        </w:rPr>
        <w:t xml:space="preserve"> </w:t>
      </w:r>
    </w:p>
    <w:p w14:paraId="34C2056D" w14:textId="6E6E3CF4" w:rsidR="00CD094E" w:rsidRPr="004B1FA2" w:rsidRDefault="004838E4" w:rsidP="00CA543E">
      <w:pPr>
        <w:autoSpaceDE w:val="0"/>
        <w:autoSpaceDN w:val="0"/>
        <w:adjustRightInd w:val="0"/>
        <w:spacing w:after="80" w:line="276" w:lineRule="auto"/>
        <w:jc w:val="both"/>
        <w:rPr>
          <w:rFonts w:ascii="Garamond" w:hAnsi="Garamond" w:cs="Arial"/>
          <w:sz w:val="26"/>
          <w:szCs w:val="26"/>
        </w:rPr>
      </w:pPr>
      <w:r w:rsidRPr="004B1FA2">
        <w:rPr>
          <w:rFonts w:ascii="Garamond" w:hAnsi="Garamond" w:cs="Arial"/>
          <w:sz w:val="26"/>
          <w:szCs w:val="26"/>
        </w:rPr>
        <w:t>Tramite il FVOE i soggetti legittimati</w:t>
      </w:r>
      <w:r w:rsidR="00457D97" w:rsidRPr="004B1FA2">
        <w:rPr>
          <w:rFonts w:ascii="Garamond" w:hAnsi="Garamond" w:cs="Arial"/>
          <w:sz w:val="26"/>
          <w:szCs w:val="26"/>
        </w:rPr>
        <w:t xml:space="preserve"> </w:t>
      </w:r>
      <w:r w:rsidRPr="004B1FA2">
        <w:rPr>
          <w:rFonts w:ascii="Garamond" w:hAnsi="Garamond" w:cs="Arial"/>
          <w:sz w:val="26"/>
          <w:szCs w:val="26"/>
        </w:rPr>
        <w:t xml:space="preserve">ad accedervi possono </w:t>
      </w:r>
      <w:r w:rsidR="00145C72" w:rsidRPr="004B1FA2">
        <w:rPr>
          <w:rFonts w:ascii="Garamond" w:hAnsi="Garamond" w:cs="Arial"/>
          <w:sz w:val="26"/>
          <w:szCs w:val="26"/>
        </w:rPr>
        <w:t xml:space="preserve">acquisire sia i </w:t>
      </w:r>
      <w:r w:rsidR="00485795" w:rsidRPr="004B1FA2">
        <w:rPr>
          <w:rFonts w:ascii="Garamond" w:hAnsi="Garamond" w:cs="Arial"/>
          <w:sz w:val="26"/>
          <w:szCs w:val="26"/>
        </w:rPr>
        <w:t>documenti attestanti</w:t>
      </w:r>
      <w:r w:rsidR="0022226C" w:rsidRPr="004B1FA2">
        <w:rPr>
          <w:rFonts w:ascii="Garamond" w:hAnsi="Garamond" w:cs="Arial"/>
          <w:sz w:val="26"/>
          <w:szCs w:val="26"/>
        </w:rPr>
        <w:t xml:space="preserve"> l’insussistenza di cause di esclusione</w:t>
      </w:r>
      <w:r w:rsidR="00970A93" w:rsidRPr="004B1FA2">
        <w:rPr>
          <w:rFonts w:ascii="Garamond" w:hAnsi="Garamond" w:cs="Arial"/>
          <w:sz w:val="26"/>
          <w:szCs w:val="26"/>
        </w:rPr>
        <w:t>, si</w:t>
      </w:r>
      <w:r w:rsidR="00AD7C09" w:rsidRPr="004B1FA2">
        <w:rPr>
          <w:rFonts w:ascii="Garamond" w:hAnsi="Garamond" w:cs="Arial"/>
          <w:sz w:val="26"/>
          <w:szCs w:val="26"/>
        </w:rPr>
        <w:t>a i</w:t>
      </w:r>
      <w:r w:rsidR="00970A93" w:rsidRPr="004B1FA2">
        <w:rPr>
          <w:rFonts w:ascii="Garamond" w:hAnsi="Garamond" w:cs="Arial"/>
          <w:sz w:val="26"/>
          <w:szCs w:val="26"/>
        </w:rPr>
        <w:t xml:space="preserve"> documenti attestanti i</w:t>
      </w:r>
      <w:r w:rsidR="008E7ED4" w:rsidRPr="004B1FA2">
        <w:rPr>
          <w:rFonts w:ascii="Garamond" w:hAnsi="Garamond" w:cs="Arial"/>
          <w:sz w:val="26"/>
          <w:szCs w:val="26"/>
        </w:rPr>
        <w:t>l possesso dei</w:t>
      </w:r>
      <w:r w:rsidR="00970A93" w:rsidRPr="004B1FA2">
        <w:rPr>
          <w:rFonts w:ascii="Garamond" w:hAnsi="Garamond" w:cs="Arial"/>
          <w:sz w:val="26"/>
          <w:szCs w:val="26"/>
        </w:rPr>
        <w:t xml:space="preserve"> requisiti </w:t>
      </w:r>
      <w:r w:rsidR="008E7ED4" w:rsidRPr="004B1FA2">
        <w:rPr>
          <w:rFonts w:ascii="Garamond" w:hAnsi="Garamond" w:cs="Arial"/>
          <w:sz w:val="26"/>
          <w:szCs w:val="26"/>
        </w:rPr>
        <w:t xml:space="preserve">di carattere speciale, ove previsti negli atti </w:t>
      </w:r>
      <w:r w:rsidR="006C15B0" w:rsidRPr="004B1FA2">
        <w:rPr>
          <w:rFonts w:ascii="Garamond" w:hAnsi="Garamond" w:cs="Arial"/>
          <w:sz w:val="26"/>
          <w:szCs w:val="26"/>
        </w:rPr>
        <w:t>della procedura di affidamento</w:t>
      </w:r>
      <w:r w:rsidR="008E7ED4" w:rsidRPr="004B1FA2">
        <w:rPr>
          <w:rFonts w:ascii="Garamond" w:hAnsi="Garamond" w:cs="Arial"/>
          <w:sz w:val="26"/>
          <w:szCs w:val="26"/>
        </w:rPr>
        <w:t>.</w:t>
      </w:r>
    </w:p>
    <w:p w14:paraId="2B8DFED5" w14:textId="034D9B26" w:rsidR="00CD094E" w:rsidRPr="004B1FA2" w:rsidRDefault="00CD094E" w:rsidP="00CA543E">
      <w:pPr>
        <w:autoSpaceDE w:val="0"/>
        <w:autoSpaceDN w:val="0"/>
        <w:adjustRightInd w:val="0"/>
        <w:spacing w:after="80" w:line="276" w:lineRule="auto"/>
        <w:jc w:val="both"/>
        <w:rPr>
          <w:rFonts w:ascii="Garamond" w:hAnsi="Garamond" w:cs="Arial"/>
          <w:sz w:val="26"/>
          <w:szCs w:val="26"/>
        </w:rPr>
      </w:pPr>
      <w:r w:rsidRPr="004B1FA2">
        <w:rPr>
          <w:rFonts w:ascii="Garamond" w:hAnsi="Garamond" w:cs="Arial"/>
          <w:sz w:val="26"/>
          <w:szCs w:val="26"/>
        </w:rPr>
        <w:t>In merito all’erroneo utilizzo del FVOE, preme evidenziare che</w:t>
      </w:r>
      <w:r w:rsidR="001613DF" w:rsidRPr="004B1FA2">
        <w:rPr>
          <w:rFonts w:ascii="Garamond" w:hAnsi="Garamond" w:cs="Arial"/>
          <w:sz w:val="26"/>
          <w:szCs w:val="26"/>
        </w:rPr>
        <w:t xml:space="preserve"> - </w:t>
      </w:r>
      <w:r w:rsidRPr="004B1FA2">
        <w:rPr>
          <w:rFonts w:ascii="Garamond" w:hAnsi="Garamond" w:cs="Arial"/>
          <w:sz w:val="26"/>
          <w:szCs w:val="26"/>
        </w:rPr>
        <w:t>al fine di non ritardare l’a</w:t>
      </w:r>
      <w:r w:rsidR="009E6122">
        <w:rPr>
          <w:rFonts w:ascii="Garamond" w:hAnsi="Garamond" w:cs="Arial"/>
          <w:sz w:val="26"/>
          <w:szCs w:val="26"/>
        </w:rPr>
        <w:t xml:space="preserve">ffidamento di un </w:t>
      </w:r>
      <w:r w:rsidRPr="004B1FA2">
        <w:rPr>
          <w:rFonts w:ascii="Garamond" w:hAnsi="Garamond" w:cs="Arial"/>
          <w:sz w:val="26"/>
          <w:szCs w:val="26"/>
        </w:rPr>
        <w:t>appalto</w:t>
      </w:r>
      <w:r w:rsidR="00AB34B2">
        <w:rPr>
          <w:rFonts w:ascii="Garamond" w:hAnsi="Garamond" w:cs="Arial"/>
          <w:sz w:val="26"/>
          <w:szCs w:val="26"/>
        </w:rPr>
        <w:t xml:space="preserve"> - </w:t>
      </w:r>
      <w:r w:rsidR="00AD7C09" w:rsidRPr="004B1FA2">
        <w:rPr>
          <w:rFonts w:ascii="Garamond" w:hAnsi="Garamond" w:cs="Arial"/>
          <w:sz w:val="26"/>
          <w:szCs w:val="26"/>
        </w:rPr>
        <w:t xml:space="preserve">nelle more </w:t>
      </w:r>
      <w:r w:rsidRPr="004B1FA2">
        <w:rPr>
          <w:rFonts w:ascii="Garamond" w:hAnsi="Garamond" w:cs="Arial"/>
          <w:sz w:val="26"/>
          <w:szCs w:val="26"/>
        </w:rPr>
        <w:t>della verifica del possesso dei requisiti di ordine generale e, laddove previsti, di carattere speciale</w:t>
      </w:r>
      <w:r w:rsidR="00AB34B2">
        <w:rPr>
          <w:rFonts w:ascii="Garamond" w:hAnsi="Garamond" w:cs="Arial"/>
          <w:sz w:val="26"/>
          <w:szCs w:val="26"/>
        </w:rPr>
        <w:t xml:space="preserve"> - </w:t>
      </w:r>
      <w:r w:rsidR="00AD7C09" w:rsidRPr="004B1FA2">
        <w:rPr>
          <w:rFonts w:ascii="Garamond" w:hAnsi="Garamond" w:cs="Arial"/>
          <w:sz w:val="26"/>
          <w:szCs w:val="26"/>
        </w:rPr>
        <w:t xml:space="preserve">l’Ente </w:t>
      </w:r>
      <w:r w:rsidRPr="004B1FA2">
        <w:rPr>
          <w:rFonts w:ascii="Garamond" w:hAnsi="Garamond" w:cs="Arial"/>
          <w:sz w:val="26"/>
          <w:szCs w:val="26"/>
        </w:rPr>
        <w:t>individua i casi in cui si può ricorrere all’utilizzo di un’autodichiarazione rilasciata dall’Operatore economico</w:t>
      </w:r>
      <w:r w:rsidR="00AD7C09" w:rsidRPr="004B1FA2">
        <w:rPr>
          <w:rFonts w:ascii="Garamond" w:hAnsi="Garamond" w:cs="Arial"/>
          <w:sz w:val="26"/>
          <w:szCs w:val="26"/>
        </w:rPr>
        <w:t>. Ciò può accadere, ad es.</w:t>
      </w:r>
      <w:r w:rsidRPr="004B1FA2">
        <w:rPr>
          <w:rFonts w:ascii="Garamond" w:hAnsi="Garamond" w:cs="Arial"/>
          <w:sz w:val="26"/>
          <w:szCs w:val="26"/>
        </w:rPr>
        <w:t xml:space="preserve">, </w:t>
      </w:r>
      <w:r w:rsidR="009E6122">
        <w:rPr>
          <w:rFonts w:ascii="Garamond" w:hAnsi="Garamond" w:cs="Arial"/>
          <w:sz w:val="26"/>
          <w:szCs w:val="26"/>
        </w:rPr>
        <w:t>ove</w:t>
      </w:r>
      <w:r w:rsidRPr="004B1FA2">
        <w:rPr>
          <w:rFonts w:ascii="Garamond" w:hAnsi="Garamond" w:cs="Arial"/>
          <w:sz w:val="26"/>
          <w:szCs w:val="26"/>
        </w:rPr>
        <w:t xml:space="preserve"> non tutti i documenti s</w:t>
      </w:r>
      <w:r w:rsidR="00AD7C09" w:rsidRPr="004B1FA2">
        <w:rPr>
          <w:rFonts w:ascii="Garamond" w:hAnsi="Garamond" w:cs="Arial"/>
          <w:sz w:val="26"/>
          <w:szCs w:val="26"/>
        </w:rPr>
        <w:t>iano</w:t>
      </w:r>
      <w:r w:rsidRPr="004B1FA2">
        <w:rPr>
          <w:rFonts w:ascii="Garamond" w:hAnsi="Garamond" w:cs="Arial"/>
          <w:sz w:val="26"/>
          <w:szCs w:val="26"/>
        </w:rPr>
        <w:t xml:space="preserve"> ri</w:t>
      </w:r>
      <w:r w:rsidR="00AD7C09" w:rsidRPr="004B1FA2">
        <w:rPr>
          <w:rFonts w:ascii="Garamond" w:hAnsi="Garamond" w:cs="Arial"/>
          <w:sz w:val="26"/>
          <w:szCs w:val="26"/>
        </w:rPr>
        <w:t>nvenibili</w:t>
      </w:r>
      <w:r w:rsidRPr="004B1FA2">
        <w:rPr>
          <w:rFonts w:ascii="Garamond" w:hAnsi="Garamond" w:cs="Arial"/>
          <w:sz w:val="26"/>
          <w:szCs w:val="26"/>
        </w:rPr>
        <w:t xml:space="preserve"> </w:t>
      </w:r>
      <w:r w:rsidR="00AD7C09" w:rsidRPr="004B1FA2">
        <w:rPr>
          <w:rFonts w:ascii="Garamond" w:hAnsi="Garamond" w:cs="Arial"/>
          <w:sz w:val="26"/>
          <w:szCs w:val="26"/>
        </w:rPr>
        <w:t>ne</w:t>
      </w:r>
      <w:r w:rsidRPr="004B1FA2">
        <w:rPr>
          <w:rFonts w:ascii="Garamond" w:hAnsi="Garamond" w:cs="Arial"/>
          <w:sz w:val="26"/>
          <w:szCs w:val="26"/>
        </w:rPr>
        <w:t xml:space="preserve">l FVOE, oppure </w:t>
      </w:r>
      <w:r w:rsidR="00AD7C09" w:rsidRPr="004B1FA2">
        <w:rPr>
          <w:rFonts w:ascii="Garamond" w:hAnsi="Garamond" w:cs="Arial"/>
          <w:sz w:val="26"/>
          <w:szCs w:val="26"/>
        </w:rPr>
        <w:t xml:space="preserve">nel caso di </w:t>
      </w:r>
      <w:r w:rsidRPr="004B1FA2">
        <w:rPr>
          <w:rFonts w:ascii="Garamond" w:hAnsi="Garamond" w:cs="Arial"/>
          <w:sz w:val="26"/>
          <w:szCs w:val="26"/>
        </w:rPr>
        <w:t xml:space="preserve"> malfunzionamento temporaneo della piattaforma, </w:t>
      </w:r>
      <w:r w:rsidR="00AD7C09" w:rsidRPr="004B1FA2">
        <w:rPr>
          <w:rFonts w:ascii="Garamond" w:hAnsi="Garamond" w:cs="Arial"/>
          <w:sz w:val="26"/>
          <w:szCs w:val="26"/>
        </w:rPr>
        <w:t xml:space="preserve">per cui </w:t>
      </w:r>
      <w:r w:rsidRPr="004B1FA2">
        <w:rPr>
          <w:rFonts w:ascii="Garamond" w:hAnsi="Garamond" w:cs="Arial"/>
          <w:sz w:val="26"/>
          <w:szCs w:val="26"/>
        </w:rPr>
        <w:t>la Stazione Appaltante è autorizzata a disporre l’</w:t>
      </w:r>
      <w:r w:rsidR="009E6122">
        <w:rPr>
          <w:rFonts w:ascii="Garamond" w:hAnsi="Garamond" w:cs="Arial"/>
          <w:sz w:val="26"/>
          <w:szCs w:val="26"/>
        </w:rPr>
        <w:t>a</w:t>
      </w:r>
      <w:r w:rsidR="00AB34B2">
        <w:rPr>
          <w:rFonts w:ascii="Garamond" w:hAnsi="Garamond" w:cs="Arial"/>
          <w:sz w:val="26"/>
          <w:szCs w:val="26"/>
        </w:rPr>
        <w:t>ffidamento</w:t>
      </w:r>
      <w:r w:rsidRPr="004B1FA2">
        <w:rPr>
          <w:rFonts w:ascii="Garamond" w:hAnsi="Garamond" w:cs="Arial"/>
          <w:sz w:val="26"/>
          <w:szCs w:val="26"/>
        </w:rPr>
        <w:t xml:space="preserve"> decorsi </w:t>
      </w:r>
      <w:r w:rsidR="00AB34B2">
        <w:rPr>
          <w:rFonts w:ascii="Garamond" w:hAnsi="Garamond" w:cs="Arial"/>
          <w:sz w:val="26"/>
          <w:szCs w:val="26"/>
        </w:rPr>
        <w:t>trenta giorni</w:t>
      </w:r>
      <w:r w:rsidRPr="004B1FA2">
        <w:rPr>
          <w:rFonts w:ascii="Garamond" w:hAnsi="Garamond" w:cs="Arial"/>
          <w:sz w:val="26"/>
          <w:szCs w:val="26"/>
        </w:rPr>
        <w:t xml:space="preserve"> dalla </w:t>
      </w:r>
      <w:r w:rsidR="00AD7C09" w:rsidRPr="004B1FA2">
        <w:rPr>
          <w:rFonts w:ascii="Garamond" w:hAnsi="Garamond" w:cs="Arial"/>
          <w:sz w:val="26"/>
          <w:szCs w:val="26"/>
        </w:rPr>
        <w:t xml:space="preserve">relativa </w:t>
      </w:r>
      <w:r w:rsidRPr="004B1FA2">
        <w:rPr>
          <w:rFonts w:ascii="Garamond" w:hAnsi="Garamond" w:cs="Arial"/>
          <w:sz w:val="26"/>
          <w:szCs w:val="26"/>
        </w:rPr>
        <w:t>proposta</w:t>
      </w:r>
      <w:r w:rsidR="00AB34B2">
        <w:rPr>
          <w:rFonts w:ascii="Garamond" w:hAnsi="Garamond" w:cs="Arial"/>
          <w:sz w:val="26"/>
          <w:szCs w:val="26"/>
        </w:rPr>
        <w:t xml:space="preserve"> - </w:t>
      </w:r>
      <w:r w:rsidRPr="004B1FA2">
        <w:rPr>
          <w:rFonts w:ascii="Garamond" w:hAnsi="Garamond" w:cs="Arial"/>
          <w:sz w:val="26"/>
          <w:szCs w:val="26"/>
        </w:rPr>
        <w:t>previa acquisizione di un’autodichiarazione</w:t>
      </w:r>
      <w:r w:rsidR="00AD7C09" w:rsidRPr="004B1FA2">
        <w:rPr>
          <w:rFonts w:ascii="Garamond" w:hAnsi="Garamond" w:cs="Arial"/>
          <w:sz w:val="26"/>
          <w:szCs w:val="26"/>
        </w:rPr>
        <w:t xml:space="preserve"> e </w:t>
      </w:r>
      <w:r w:rsidRPr="004B1FA2">
        <w:rPr>
          <w:rFonts w:ascii="Garamond" w:hAnsi="Garamond" w:cs="Arial"/>
          <w:sz w:val="26"/>
          <w:szCs w:val="26"/>
        </w:rPr>
        <w:t xml:space="preserve">fermo restando l’obbligo di concludere le verifiche entro un congruo tempo; un ulteriore esempio potrebbe essere il caso in cui si è in presenza di certificazioni che </w:t>
      </w:r>
      <w:r w:rsidR="00AD7C09" w:rsidRPr="004B1FA2">
        <w:rPr>
          <w:rFonts w:ascii="Garamond" w:hAnsi="Garamond" w:cs="Arial"/>
          <w:sz w:val="26"/>
          <w:szCs w:val="26"/>
        </w:rPr>
        <w:t xml:space="preserve">non è possibile </w:t>
      </w:r>
      <w:r w:rsidRPr="004B1FA2">
        <w:rPr>
          <w:rFonts w:ascii="Garamond" w:hAnsi="Garamond" w:cs="Arial"/>
          <w:sz w:val="26"/>
          <w:szCs w:val="26"/>
        </w:rPr>
        <w:t>ottenere a mezzo FVOE</w:t>
      </w:r>
      <w:r w:rsidR="00AD7C09" w:rsidRPr="004B1FA2">
        <w:rPr>
          <w:rFonts w:ascii="Garamond" w:hAnsi="Garamond" w:cs="Arial"/>
          <w:sz w:val="26"/>
          <w:szCs w:val="26"/>
        </w:rPr>
        <w:t xml:space="preserve"> (</w:t>
      </w:r>
      <w:r w:rsidRPr="004B1FA2">
        <w:rPr>
          <w:rFonts w:ascii="Garamond" w:hAnsi="Garamond" w:cs="Arial"/>
          <w:sz w:val="26"/>
          <w:szCs w:val="26"/>
        </w:rPr>
        <w:t>in questa circostanza, il RUP deve</w:t>
      </w:r>
      <w:r w:rsidR="00AB34B2">
        <w:rPr>
          <w:rFonts w:ascii="Garamond" w:hAnsi="Garamond" w:cs="Arial"/>
          <w:sz w:val="26"/>
          <w:szCs w:val="26"/>
        </w:rPr>
        <w:t xml:space="preserve"> </w:t>
      </w:r>
      <w:r w:rsidRPr="004B1FA2">
        <w:rPr>
          <w:rFonts w:ascii="Garamond" w:hAnsi="Garamond" w:cs="Arial"/>
          <w:sz w:val="26"/>
          <w:szCs w:val="26"/>
        </w:rPr>
        <w:t>richiederle presso gli opportuni Enti certificatori</w:t>
      </w:r>
      <w:r w:rsidR="00AD7C09" w:rsidRPr="004B1FA2">
        <w:rPr>
          <w:rFonts w:ascii="Garamond" w:hAnsi="Garamond" w:cs="Arial"/>
          <w:sz w:val="26"/>
          <w:szCs w:val="26"/>
        </w:rPr>
        <w:t>)</w:t>
      </w:r>
    </w:p>
    <w:p w14:paraId="53B912D1" w14:textId="41E0AEDC" w:rsidR="00130A0A" w:rsidRPr="004B1FA2" w:rsidRDefault="000323CF" w:rsidP="00CA543E">
      <w:pPr>
        <w:autoSpaceDE w:val="0"/>
        <w:autoSpaceDN w:val="0"/>
        <w:adjustRightInd w:val="0"/>
        <w:spacing w:after="80" w:line="276" w:lineRule="auto"/>
        <w:jc w:val="both"/>
        <w:rPr>
          <w:rFonts w:ascii="Garamond" w:hAnsi="Garamond" w:cs="Arial"/>
          <w:strike/>
          <w:sz w:val="26"/>
          <w:szCs w:val="26"/>
        </w:rPr>
      </w:pPr>
      <w:r w:rsidRPr="004B1FA2">
        <w:rPr>
          <w:rFonts w:ascii="Garamond" w:hAnsi="Garamond" w:cs="Arial"/>
          <w:sz w:val="26"/>
          <w:szCs w:val="26"/>
        </w:rPr>
        <w:t xml:space="preserve">Ciò non deve creare però </w:t>
      </w:r>
      <w:r w:rsidR="0032485E" w:rsidRPr="004B1FA2">
        <w:rPr>
          <w:rFonts w:ascii="Garamond" w:hAnsi="Garamond" w:cs="Arial"/>
          <w:sz w:val="26"/>
          <w:szCs w:val="26"/>
        </w:rPr>
        <w:t xml:space="preserve">un abuso del ricorso all’autocertificazione </w:t>
      </w:r>
      <w:r w:rsidR="00E949F7" w:rsidRPr="004B1FA2">
        <w:rPr>
          <w:rFonts w:ascii="Garamond" w:hAnsi="Garamond" w:cs="Arial"/>
          <w:sz w:val="26"/>
          <w:szCs w:val="26"/>
        </w:rPr>
        <w:t>che consentirebbe una elusione dei controlli</w:t>
      </w:r>
      <w:r w:rsidR="00AB34B2">
        <w:rPr>
          <w:rFonts w:ascii="Garamond" w:hAnsi="Garamond" w:cs="Arial"/>
          <w:sz w:val="26"/>
          <w:szCs w:val="26"/>
        </w:rPr>
        <w:t>; per prevenire tale</w:t>
      </w:r>
      <w:r w:rsidR="00247A32" w:rsidRPr="004B1FA2">
        <w:rPr>
          <w:rFonts w:ascii="Garamond" w:hAnsi="Garamond" w:cs="Arial"/>
          <w:sz w:val="26"/>
          <w:szCs w:val="26"/>
        </w:rPr>
        <w:t xml:space="preserve"> </w:t>
      </w:r>
      <w:r w:rsidR="005C3D96" w:rsidRPr="004B1FA2">
        <w:rPr>
          <w:rFonts w:ascii="Garamond" w:hAnsi="Garamond" w:cs="Arial"/>
          <w:sz w:val="26"/>
          <w:szCs w:val="26"/>
        </w:rPr>
        <w:t>rischio</w:t>
      </w:r>
      <w:r w:rsidR="00247A32" w:rsidRPr="004B1FA2">
        <w:rPr>
          <w:rFonts w:ascii="Garamond" w:hAnsi="Garamond" w:cs="Arial"/>
          <w:sz w:val="26"/>
          <w:szCs w:val="26"/>
        </w:rPr>
        <w:t xml:space="preserve"> </w:t>
      </w:r>
      <w:r w:rsidR="00AB34B2">
        <w:rPr>
          <w:rFonts w:ascii="Garamond" w:hAnsi="Garamond" w:cs="Arial"/>
          <w:sz w:val="26"/>
          <w:szCs w:val="26"/>
        </w:rPr>
        <w:t>è necessario individuare, da parte del</w:t>
      </w:r>
      <w:r w:rsidR="00247A32" w:rsidRPr="004B1FA2">
        <w:rPr>
          <w:rFonts w:ascii="Garamond" w:hAnsi="Garamond" w:cs="Arial"/>
          <w:sz w:val="26"/>
          <w:szCs w:val="26"/>
        </w:rPr>
        <w:t>l’Ufficio</w:t>
      </w:r>
      <w:r w:rsidR="00AB34B2">
        <w:rPr>
          <w:rFonts w:ascii="Garamond" w:hAnsi="Garamond" w:cs="Arial"/>
          <w:sz w:val="26"/>
          <w:szCs w:val="26"/>
        </w:rPr>
        <w:t xml:space="preserve"> competente,</w:t>
      </w:r>
      <w:r w:rsidR="00247A32" w:rsidRPr="004B1FA2">
        <w:rPr>
          <w:rFonts w:ascii="Garamond" w:hAnsi="Garamond" w:cs="Arial"/>
          <w:sz w:val="26"/>
          <w:szCs w:val="26"/>
        </w:rPr>
        <w:t xml:space="preserve"> </w:t>
      </w:r>
      <w:r w:rsidR="0093116E" w:rsidRPr="004B1FA2">
        <w:rPr>
          <w:rFonts w:ascii="Garamond" w:hAnsi="Garamond" w:cs="Arial"/>
          <w:sz w:val="26"/>
          <w:szCs w:val="26"/>
        </w:rPr>
        <w:t>i casi in cui è effettivamente possibile ricorrer</w:t>
      </w:r>
      <w:r w:rsidR="009E6122">
        <w:rPr>
          <w:rFonts w:ascii="Garamond" w:hAnsi="Garamond" w:cs="Arial"/>
          <w:sz w:val="26"/>
          <w:szCs w:val="26"/>
        </w:rPr>
        <w:t>vi</w:t>
      </w:r>
      <w:r w:rsidR="004B1FA2">
        <w:rPr>
          <w:rFonts w:ascii="Garamond" w:hAnsi="Garamond" w:cs="Arial"/>
          <w:sz w:val="26"/>
          <w:szCs w:val="26"/>
        </w:rPr>
        <w:t>.</w:t>
      </w:r>
    </w:p>
    <w:p w14:paraId="5DC61DC7" w14:textId="4FE3DE3D" w:rsidR="00906229" w:rsidRPr="008E2B66" w:rsidRDefault="00DC6035" w:rsidP="00CA543E">
      <w:pPr>
        <w:autoSpaceDE w:val="0"/>
        <w:autoSpaceDN w:val="0"/>
        <w:adjustRightInd w:val="0"/>
        <w:spacing w:after="80" w:line="276" w:lineRule="auto"/>
        <w:jc w:val="both"/>
        <w:rPr>
          <w:rFonts w:ascii="Garamond" w:hAnsi="Garamond" w:cs="Arial"/>
          <w:sz w:val="26"/>
          <w:szCs w:val="26"/>
        </w:rPr>
      </w:pPr>
      <w:r w:rsidRPr="009E6122">
        <w:rPr>
          <w:rFonts w:ascii="Garamond" w:hAnsi="Garamond" w:cs="Arial"/>
          <w:sz w:val="26"/>
          <w:szCs w:val="26"/>
        </w:rPr>
        <w:t xml:space="preserve">Alla luce di quanto </w:t>
      </w:r>
      <w:r w:rsidR="009E6122">
        <w:rPr>
          <w:rFonts w:ascii="Garamond" w:hAnsi="Garamond" w:cs="Arial"/>
          <w:sz w:val="26"/>
          <w:szCs w:val="26"/>
        </w:rPr>
        <w:t xml:space="preserve">sopra, </w:t>
      </w:r>
      <w:r w:rsidR="00E15B00" w:rsidRPr="009E6122">
        <w:rPr>
          <w:rFonts w:ascii="Garamond" w:hAnsi="Garamond" w:cs="Arial"/>
          <w:sz w:val="26"/>
          <w:szCs w:val="26"/>
        </w:rPr>
        <w:t>s</w:t>
      </w:r>
      <w:r w:rsidR="00DC51DA" w:rsidRPr="009E6122">
        <w:rPr>
          <w:rFonts w:ascii="Garamond" w:hAnsi="Garamond" w:cs="Arial"/>
          <w:sz w:val="26"/>
          <w:szCs w:val="26"/>
        </w:rPr>
        <w:t>i</w:t>
      </w:r>
      <w:r w:rsidRPr="009E6122">
        <w:rPr>
          <w:rFonts w:ascii="Garamond" w:hAnsi="Garamond" w:cs="Arial"/>
          <w:sz w:val="26"/>
          <w:szCs w:val="26"/>
        </w:rPr>
        <w:t xml:space="preserve"> è</w:t>
      </w:r>
      <w:r w:rsidR="00DC51DA" w:rsidRPr="009E6122">
        <w:rPr>
          <w:rFonts w:ascii="Garamond" w:hAnsi="Garamond" w:cs="Arial"/>
          <w:sz w:val="26"/>
          <w:szCs w:val="26"/>
        </w:rPr>
        <w:t xml:space="preserve"> r</w:t>
      </w:r>
      <w:r w:rsidR="009E6122">
        <w:rPr>
          <w:rFonts w:ascii="Garamond" w:hAnsi="Garamond" w:cs="Arial"/>
          <w:sz w:val="26"/>
          <w:szCs w:val="26"/>
        </w:rPr>
        <w:t>itiene opportuno</w:t>
      </w:r>
      <w:r w:rsidR="00DC51DA" w:rsidRPr="009E6122">
        <w:rPr>
          <w:rFonts w:ascii="Garamond" w:hAnsi="Garamond" w:cs="Arial"/>
          <w:sz w:val="26"/>
          <w:szCs w:val="26"/>
        </w:rPr>
        <w:t xml:space="preserve"> </w:t>
      </w:r>
      <w:r w:rsidRPr="009E6122">
        <w:rPr>
          <w:rFonts w:ascii="Garamond" w:hAnsi="Garamond" w:cs="Arial"/>
          <w:sz w:val="26"/>
          <w:szCs w:val="26"/>
        </w:rPr>
        <w:t xml:space="preserve">programmare alcune misure specifiche che </w:t>
      </w:r>
      <w:r w:rsidR="00E006D5" w:rsidRPr="009E6122">
        <w:rPr>
          <w:rFonts w:ascii="Garamond" w:hAnsi="Garamond" w:cs="Arial"/>
          <w:sz w:val="26"/>
          <w:szCs w:val="26"/>
        </w:rPr>
        <w:t>sono riportate nell’Allegato _</w:t>
      </w:r>
      <w:r w:rsidR="009E6122">
        <w:rPr>
          <w:rFonts w:ascii="Garamond" w:hAnsi="Garamond" w:cs="Arial"/>
          <w:sz w:val="26"/>
          <w:szCs w:val="26"/>
        </w:rPr>
        <w:t xml:space="preserve">fermo restando un confronto specifico con il competente Ufficio </w:t>
      </w:r>
      <w:r w:rsidR="009E6122" w:rsidRPr="009E6122">
        <w:rPr>
          <w:rFonts w:ascii="Garamond" w:hAnsi="Garamond" w:cs="Arial"/>
          <w:i/>
          <w:iCs/>
          <w:sz w:val="26"/>
          <w:szCs w:val="26"/>
        </w:rPr>
        <w:t>Negoziale</w:t>
      </w:r>
      <w:r w:rsidR="009E6122">
        <w:rPr>
          <w:rFonts w:ascii="Garamond" w:hAnsi="Garamond" w:cs="Arial"/>
          <w:sz w:val="26"/>
          <w:szCs w:val="26"/>
        </w:rPr>
        <w:t xml:space="preserve"> che finora non è stato possibile.</w:t>
      </w:r>
    </w:p>
    <w:bookmarkEnd w:id="10"/>
    <w:p w14:paraId="38372C27" w14:textId="6C5E15BA" w:rsidR="00EF562E" w:rsidRPr="008E2B66" w:rsidRDefault="00EF562E" w:rsidP="00CA543E">
      <w:pPr>
        <w:spacing w:after="80" w:line="276" w:lineRule="auto"/>
        <w:jc w:val="both"/>
        <w:rPr>
          <w:rFonts w:ascii="Garamond" w:eastAsiaTheme="minorHAnsi" w:hAnsi="Garamond" w:cs="Arial"/>
          <w:sz w:val="26"/>
          <w:szCs w:val="26"/>
        </w:rPr>
      </w:pPr>
      <w:r w:rsidRPr="00B1133C">
        <w:rPr>
          <w:rFonts w:ascii="Garamond" w:eastAsiaTheme="minorHAnsi" w:hAnsi="Garamond" w:cs="Arial"/>
          <w:sz w:val="26"/>
          <w:szCs w:val="26"/>
        </w:rPr>
        <w:t xml:space="preserve">Sulla base dei </w:t>
      </w:r>
      <w:r w:rsidR="00362CEC" w:rsidRPr="00B1133C">
        <w:rPr>
          <w:rFonts w:ascii="Garamond" w:eastAsiaTheme="minorHAnsi" w:hAnsi="Garamond" w:cs="Arial"/>
          <w:sz w:val="26"/>
          <w:szCs w:val="26"/>
        </w:rPr>
        <w:t xml:space="preserve">risultati dei </w:t>
      </w:r>
      <w:r w:rsidRPr="00B1133C">
        <w:rPr>
          <w:rFonts w:ascii="Garamond" w:eastAsiaTheme="minorHAnsi" w:hAnsi="Garamond" w:cs="Arial"/>
          <w:sz w:val="26"/>
          <w:szCs w:val="26"/>
        </w:rPr>
        <w:t xml:space="preserve">monitoraggi e dei menzionati aggiornamenti si è ritenuto di trattare </w:t>
      </w:r>
      <w:r w:rsidR="00B1133C">
        <w:rPr>
          <w:rFonts w:ascii="Garamond" w:eastAsiaTheme="minorHAnsi" w:hAnsi="Garamond" w:cs="Arial"/>
          <w:sz w:val="26"/>
          <w:szCs w:val="26"/>
        </w:rPr>
        <w:t xml:space="preserve">anche </w:t>
      </w:r>
      <w:r w:rsidRPr="00B1133C">
        <w:rPr>
          <w:rFonts w:ascii="Garamond" w:eastAsiaTheme="minorHAnsi" w:hAnsi="Garamond" w:cs="Arial"/>
          <w:sz w:val="26"/>
          <w:szCs w:val="26"/>
        </w:rPr>
        <w:t>per il 202</w:t>
      </w:r>
      <w:r w:rsidR="00671AF1" w:rsidRPr="00B1133C">
        <w:rPr>
          <w:rFonts w:ascii="Garamond" w:eastAsiaTheme="minorHAnsi" w:hAnsi="Garamond" w:cs="Arial"/>
          <w:sz w:val="26"/>
          <w:szCs w:val="26"/>
        </w:rPr>
        <w:t>6</w:t>
      </w:r>
      <w:r w:rsidRPr="00B1133C">
        <w:rPr>
          <w:rFonts w:ascii="Garamond" w:eastAsiaTheme="minorHAnsi" w:hAnsi="Garamond" w:cs="Arial"/>
          <w:sz w:val="26"/>
          <w:szCs w:val="26"/>
        </w:rPr>
        <w:t xml:space="preserve"> il livello di rischio </w:t>
      </w:r>
      <w:r w:rsidRPr="00B1133C">
        <w:rPr>
          <w:rFonts w:ascii="Garamond" w:eastAsiaTheme="minorHAnsi" w:hAnsi="Garamond" w:cs="Arial"/>
          <w:i/>
          <w:iCs/>
          <w:sz w:val="26"/>
          <w:szCs w:val="26"/>
        </w:rPr>
        <w:t>Molto alto, Alto e Medio</w:t>
      </w:r>
      <w:r w:rsidRPr="00B1133C">
        <w:rPr>
          <w:rFonts w:ascii="Garamond" w:eastAsiaTheme="minorHAnsi" w:hAnsi="Garamond" w:cs="Arial"/>
          <w:sz w:val="26"/>
          <w:szCs w:val="26"/>
        </w:rPr>
        <w:t xml:space="preserve"> (nello specifico i sottoprocessi </w:t>
      </w:r>
      <w:r w:rsidR="00362CEC" w:rsidRPr="00B1133C">
        <w:rPr>
          <w:rFonts w:ascii="Garamond" w:eastAsiaTheme="minorHAnsi" w:hAnsi="Garamond" w:cs="Arial"/>
          <w:sz w:val="26"/>
          <w:szCs w:val="26"/>
        </w:rPr>
        <w:t>per cui</w:t>
      </w:r>
      <w:r w:rsidRPr="00B1133C">
        <w:rPr>
          <w:rFonts w:ascii="Garamond" w:eastAsiaTheme="minorHAnsi" w:hAnsi="Garamond" w:cs="Arial"/>
          <w:sz w:val="26"/>
          <w:szCs w:val="26"/>
        </w:rPr>
        <w:t xml:space="preserve"> le misure sono state </w:t>
      </w:r>
      <w:r w:rsidRPr="00B1133C">
        <w:rPr>
          <w:rFonts w:ascii="Garamond" w:eastAsiaTheme="minorHAnsi" w:hAnsi="Garamond" w:cs="Arial"/>
          <w:sz w:val="26"/>
          <w:szCs w:val="26"/>
          <w:shd w:val="clear" w:color="auto" w:fill="FFFFFF" w:themeFill="background1"/>
        </w:rPr>
        <w:t xml:space="preserve">rimodulate e/o riprogrammate o inserite </w:t>
      </w:r>
      <w:r w:rsidRPr="00B1133C">
        <w:rPr>
          <w:rFonts w:ascii="Garamond" w:eastAsiaTheme="minorHAnsi" w:hAnsi="Garamond" w:cs="Arial"/>
          <w:sz w:val="26"/>
          <w:szCs w:val="26"/>
        </w:rPr>
        <w:t xml:space="preserve">e il livello di rischio </w:t>
      </w:r>
      <w:r w:rsidRPr="009E6122">
        <w:rPr>
          <w:rFonts w:ascii="Garamond" w:eastAsiaTheme="minorHAnsi" w:hAnsi="Garamond" w:cs="Arial"/>
          <w:i/>
          <w:iCs/>
          <w:sz w:val="26"/>
          <w:szCs w:val="26"/>
        </w:rPr>
        <w:t>Basso</w:t>
      </w:r>
      <w:r w:rsidR="00B1133C">
        <w:rPr>
          <w:rFonts w:ascii="Garamond" w:eastAsiaTheme="minorHAnsi" w:hAnsi="Garamond" w:cs="Arial"/>
          <w:sz w:val="26"/>
          <w:szCs w:val="26"/>
        </w:rPr>
        <w:t>)</w:t>
      </w:r>
      <w:r w:rsidRPr="00B1133C">
        <w:rPr>
          <w:rFonts w:ascii="Garamond" w:eastAsiaTheme="minorHAnsi" w:hAnsi="Garamond" w:cs="Arial"/>
          <w:sz w:val="26"/>
          <w:szCs w:val="26"/>
        </w:rPr>
        <w:t>.</w:t>
      </w:r>
    </w:p>
    <w:p w14:paraId="5FE14A9A" w14:textId="6DFC5197" w:rsidR="00EF562E" w:rsidRPr="008E2B66" w:rsidRDefault="00EF562E" w:rsidP="00CA543E">
      <w:pPr>
        <w:spacing w:after="80" w:line="276" w:lineRule="auto"/>
        <w:jc w:val="both"/>
        <w:rPr>
          <w:rFonts w:ascii="Garamond" w:eastAsiaTheme="minorHAnsi" w:hAnsi="Garamond" w:cs="Arial"/>
          <w:sz w:val="26"/>
          <w:szCs w:val="26"/>
        </w:rPr>
      </w:pPr>
      <w:r w:rsidRPr="008E2B66">
        <w:rPr>
          <w:rFonts w:ascii="Garamond" w:eastAsiaTheme="minorHAnsi" w:hAnsi="Garamond" w:cs="Arial"/>
          <w:sz w:val="26"/>
          <w:szCs w:val="26"/>
        </w:rPr>
        <w:t>La programmazione, per l’anno 202</w:t>
      </w:r>
      <w:r w:rsidR="006C2381" w:rsidRPr="008E2B66">
        <w:rPr>
          <w:rFonts w:ascii="Garamond" w:eastAsiaTheme="minorHAnsi" w:hAnsi="Garamond" w:cs="Arial"/>
          <w:sz w:val="26"/>
          <w:szCs w:val="26"/>
        </w:rPr>
        <w:t>6</w:t>
      </w:r>
      <w:r w:rsidRPr="008E2B66">
        <w:rPr>
          <w:rFonts w:ascii="Garamond" w:eastAsiaTheme="minorHAnsi" w:hAnsi="Garamond" w:cs="Arial"/>
          <w:sz w:val="26"/>
          <w:szCs w:val="26"/>
        </w:rPr>
        <w:t xml:space="preserve">, delle misure specifiche è riportata </w:t>
      </w:r>
      <w:r w:rsidRPr="009E6122">
        <w:rPr>
          <w:rFonts w:ascii="Garamond" w:eastAsiaTheme="minorHAnsi" w:hAnsi="Garamond" w:cs="Arial"/>
          <w:i/>
          <w:iCs/>
          <w:sz w:val="26"/>
          <w:szCs w:val="26"/>
        </w:rPr>
        <w:t xml:space="preserve">nell’Allegato </w:t>
      </w:r>
      <w:r w:rsidR="00952B17" w:rsidRPr="009E6122">
        <w:rPr>
          <w:rFonts w:ascii="Garamond" w:eastAsiaTheme="minorHAnsi" w:hAnsi="Garamond" w:cs="Arial"/>
          <w:i/>
          <w:iCs/>
          <w:sz w:val="26"/>
          <w:szCs w:val="26"/>
        </w:rPr>
        <w:t>1</w:t>
      </w:r>
      <w:r w:rsidR="00952B17">
        <w:rPr>
          <w:rFonts w:ascii="Garamond" w:eastAsiaTheme="minorHAnsi" w:hAnsi="Garamond" w:cs="Arial"/>
          <w:i/>
          <w:iCs/>
          <w:sz w:val="26"/>
          <w:szCs w:val="26"/>
        </w:rPr>
        <w:t>.</w:t>
      </w:r>
    </w:p>
    <w:p w14:paraId="60F7DADF" w14:textId="77777777" w:rsidR="00EF562E" w:rsidRPr="008E2B66" w:rsidRDefault="00EF562E" w:rsidP="00CA543E">
      <w:pPr>
        <w:spacing w:after="80" w:line="276" w:lineRule="auto"/>
        <w:jc w:val="both"/>
        <w:rPr>
          <w:rFonts w:ascii="Garamond" w:eastAsiaTheme="minorHAnsi" w:hAnsi="Garamond" w:cs="Arial"/>
          <w:sz w:val="26"/>
          <w:szCs w:val="26"/>
        </w:rPr>
      </w:pPr>
      <w:r w:rsidRPr="008E2B66">
        <w:rPr>
          <w:rFonts w:ascii="Garamond" w:eastAsiaTheme="minorHAnsi" w:hAnsi="Garamond" w:cs="Arial"/>
          <w:sz w:val="26"/>
          <w:szCs w:val="26"/>
        </w:rPr>
        <w:t xml:space="preserve">Si evidenzia, inoltre, che alcune misure, ancorché indicate nel menzionato </w:t>
      </w:r>
      <w:r w:rsidRPr="00362CEC">
        <w:rPr>
          <w:rFonts w:ascii="Garamond" w:eastAsiaTheme="minorHAnsi" w:hAnsi="Garamond" w:cs="Arial"/>
          <w:i/>
          <w:iCs/>
          <w:sz w:val="26"/>
          <w:szCs w:val="26"/>
        </w:rPr>
        <w:t>Allegato</w:t>
      </w:r>
      <w:r w:rsidRPr="008E2B66">
        <w:rPr>
          <w:rFonts w:ascii="Garamond" w:eastAsiaTheme="minorHAnsi" w:hAnsi="Garamond" w:cs="Arial"/>
          <w:sz w:val="26"/>
          <w:szCs w:val="26"/>
        </w:rPr>
        <w:t xml:space="preserve"> come </w:t>
      </w:r>
      <w:r w:rsidRPr="00362CEC">
        <w:rPr>
          <w:rFonts w:ascii="Garamond" w:eastAsiaTheme="minorHAnsi" w:hAnsi="Garamond" w:cs="Arial"/>
          <w:i/>
          <w:iCs/>
          <w:sz w:val="26"/>
          <w:szCs w:val="26"/>
        </w:rPr>
        <w:t>adottate,</w:t>
      </w:r>
      <w:r w:rsidRPr="008E2B66">
        <w:rPr>
          <w:rFonts w:ascii="Garamond" w:eastAsiaTheme="minorHAnsi" w:hAnsi="Garamond" w:cs="Arial"/>
          <w:sz w:val="26"/>
          <w:szCs w:val="26"/>
        </w:rPr>
        <w:t xml:space="preserve"> necessitano di applicazione continuativa e pertanto potranno comunque essere oggetto di verifica periodica.</w:t>
      </w:r>
    </w:p>
    <w:p w14:paraId="076C01F1" w14:textId="1F31094E" w:rsidR="00941B59" w:rsidRPr="008E2B66" w:rsidRDefault="000C6EE3" w:rsidP="00CA543E">
      <w:pPr>
        <w:autoSpaceDE w:val="0"/>
        <w:autoSpaceDN w:val="0"/>
        <w:adjustRightInd w:val="0"/>
        <w:spacing w:after="80" w:line="276" w:lineRule="auto"/>
        <w:jc w:val="both"/>
        <w:rPr>
          <w:rFonts w:ascii="Garamond" w:hAnsi="Garamond" w:cs="Arial"/>
          <w:sz w:val="26"/>
          <w:szCs w:val="26"/>
        </w:rPr>
      </w:pPr>
      <w:r w:rsidRPr="008E2B66">
        <w:rPr>
          <w:rFonts w:ascii="Garamond" w:eastAsia="Aptos" w:hAnsi="Garamond" w:cs="Arial"/>
          <w:kern w:val="2"/>
          <w:sz w:val="26"/>
          <w:szCs w:val="26"/>
          <w14:ligatures w14:val="standardContextual"/>
        </w:rPr>
        <w:t>Si precisa che c</w:t>
      </w:r>
      <w:r w:rsidR="00941B59" w:rsidRPr="008E2B66">
        <w:rPr>
          <w:rFonts w:ascii="Garamond" w:eastAsia="Aptos" w:hAnsi="Garamond" w:cs="Arial"/>
          <w:kern w:val="2"/>
          <w:sz w:val="26"/>
          <w:szCs w:val="26"/>
          <w14:ligatures w14:val="standardContextual"/>
        </w:rPr>
        <w:t xml:space="preserve">on riferimento alla misura </w:t>
      </w:r>
      <w:r w:rsidR="00941B59" w:rsidRPr="00362CEC">
        <w:rPr>
          <w:rFonts w:ascii="Garamond" w:eastAsia="Aptos" w:hAnsi="Garamond" w:cs="Arial"/>
          <w:i/>
          <w:iCs/>
          <w:kern w:val="2"/>
          <w:sz w:val="26"/>
          <w:szCs w:val="26"/>
          <w14:ligatures w14:val="standardContextual"/>
        </w:rPr>
        <w:t>Aggiornamento del massimario delle violazioni al fine di Audit</w:t>
      </w:r>
      <w:r w:rsidR="00941B59" w:rsidRPr="00362CEC">
        <w:rPr>
          <w:rFonts w:ascii="Garamond" w:eastAsia="Aptos" w:hAnsi="Garamond" w:cs="Arial"/>
          <w:kern w:val="2"/>
          <w:sz w:val="26"/>
          <w:szCs w:val="26"/>
          <w14:ligatures w14:val="standardContextual"/>
        </w:rPr>
        <w:t xml:space="preserve"> </w:t>
      </w:r>
      <w:r w:rsidR="00941B59" w:rsidRPr="008E2B66">
        <w:rPr>
          <w:rFonts w:ascii="Garamond" w:eastAsia="Aptos" w:hAnsi="Garamond" w:cs="Arial"/>
          <w:kern w:val="2"/>
          <w:sz w:val="26"/>
          <w:szCs w:val="26"/>
          <w14:ligatures w14:val="standardContextual"/>
        </w:rPr>
        <w:t>presso i Centri</w:t>
      </w:r>
      <w:r w:rsidR="00362CEC">
        <w:rPr>
          <w:rFonts w:ascii="Garamond" w:eastAsia="Aptos" w:hAnsi="Garamond" w:cs="Arial"/>
          <w:kern w:val="2"/>
          <w:sz w:val="26"/>
          <w:szCs w:val="26"/>
          <w14:ligatures w14:val="standardContextual"/>
        </w:rPr>
        <w:t>, in capo a</w:t>
      </w:r>
      <w:r w:rsidR="00941B59" w:rsidRPr="008E2B66">
        <w:rPr>
          <w:rFonts w:ascii="Garamond" w:eastAsia="Aptos" w:hAnsi="Garamond" w:cs="Arial"/>
          <w:kern w:val="2"/>
          <w:sz w:val="26"/>
          <w:szCs w:val="26"/>
          <w14:ligatures w14:val="standardContextual"/>
        </w:rPr>
        <w:t xml:space="preserve">ll’Ufficio </w:t>
      </w:r>
      <w:r w:rsidR="00941B59" w:rsidRPr="00362CEC">
        <w:rPr>
          <w:rFonts w:ascii="Garamond" w:eastAsia="Aptos" w:hAnsi="Garamond" w:cs="Arial"/>
          <w:i/>
          <w:iCs/>
          <w:kern w:val="2"/>
          <w:sz w:val="26"/>
          <w:szCs w:val="26"/>
          <w14:ligatures w14:val="standardContextual"/>
        </w:rPr>
        <w:t>Programmazione e controllo</w:t>
      </w:r>
      <w:r w:rsidR="00362CEC">
        <w:rPr>
          <w:rFonts w:ascii="Garamond" w:eastAsia="Aptos" w:hAnsi="Garamond" w:cs="Arial"/>
          <w:i/>
          <w:iCs/>
          <w:kern w:val="2"/>
          <w:sz w:val="26"/>
          <w:szCs w:val="26"/>
          <w14:ligatures w14:val="standardContextual"/>
        </w:rPr>
        <w:t xml:space="preserve"> </w:t>
      </w:r>
      <w:r w:rsidR="00941B59" w:rsidRPr="00362CEC">
        <w:rPr>
          <w:rFonts w:ascii="Garamond" w:eastAsia="Aptos" w:hAnsi="Garamond" w:cs="Arial"/>
          <w:i/>
          <w:iCs/>
          <w:kern w:val="2"/>
          <w:sz w:val="26"/>
          <w:szCs w:val="26"/>
          <w14:ligatures w14:val="standardContextual"/>
        </w:rPr>
        <w:t>UDG1</w:t>
      </w:r>
      <w:r w:rsidR="00941B59" w:rsidRPr="008E2B66">
        <w:rPr>
          <w:rFonts w:ascii="Garamond" w:eastAsia="Aptos" w:hAnsi="Garamond" w:cs="Arial"/>
          <w:kern w:val="2"/>
          <w:sz w:val="26"/>
          <w:szCs w:val="26"/>
          <w14:ligatures w14:val="standardContextual"/>
        </w:rPr>
        <w:t xml:space="preserve"> è emers</w:t>
      </w:r>
      <w:r w:rsidR="00362CEC">
        <w:rPr>
          <w:rFonts w:ascii="Garamond" w:eastAsia="Aptos" w:hAnsi="Garamond" w:cs="Arial"/>
          <w:kern w:val="2"/>
          <w:sz w:val="26"/>
          <w:szCs w:val="26"/>
          <w14:ligatures w14:val="standardContextual"/>
        </w:rPr>
        <w:t>a</w:t>
      </w:r>
      <w:r w:rsidR="00941B59" w:rsidRPr="008E2B66">
        <w:rPr>
          <w:rFonts w:ascii="Garamond" w:eastAsia="Aptos" w:hAnsi="Garamond" w:cs="Arial"/>
          <w:kern w:val="2"/>
          <w:sz w:val="26"/>
          <w:szCs w:val="26"/>
          <w14:ligatures w14:val="standardContextual"/>
        </w:rPr>
        <w:t xml:space="preserve">, a seguito dei monitoraggi </w:t>
      </w:r>
      <w:r w:rsidR="00941B59" w:rsidRPr="00952B17">
        <w:rPr>
          <w:rFonts w:ascii="Garamond" w:eastAsia="Aptos" w:hAnsi="Garamond" w:cs="Arial"/>
          <w:kern w:val="2"/>
          <w:sz w:val="26"/>
          <w:szCs w:val="26"/>
          <w14:ligatures w14:val="standardContextual"/>
        </w:rPr>
        <w:t>e di interlocuzioni</w:t>
      </w:r>
      <w:r w:rsidR="00952B17">
        <w:rPr>
          <w:rFonts w:ascii="Garamond" w:eastAsia="Aptos" w:hAnsi="Garamond" w:cs="Arial"/>
          <w:kern w:val="2"/>
          <w:sz w:val="26"/>
          <w:szCs w:val="26"/>
          <w14:ligatures w14:val="standardContextual"/>
        </w:rPr>
        <w:t xml:space="preserve"> con lo stesso Ufficio</w:t>
      </w:r>
      <w:r w:rsidR="00941B59" w:rsidRPr="008E2B66">
        <w:rPr>
          <w:rFonts w:ascii="Garamond" w:eastAsia="Aptos" w:hAnsi="Garamond" w:cs="Arial"/>
          <w:kern w:val="2"/>
          <w:sz w:val="26"/>
          <w:szCs w:val="26"/>
          <w14:ligatures w14:val="standardContextual"/>
        </w:rPr>
        <w:t>, l’impossibilità di attuazione alla luce dell’organizzazione dell’Ufficio stesso che al momento</w:t>
      </w:r>
      <w:r w:rsidR="00941B59" w:rsidRPr="008E2B66">
        <w:rPr>
          <w:rFonts w:ascii="Garamond" w:eastAsia="Aptos" w:hAnsi="Garamond" w:cs="Arial"/>
          <w:b/>
          <w:bCs/>
          <w:kern w:val="2"/>
          <w:sz w:val="26"/>
          <w:szCs w:val="26"/>
          <w14:ligatures w14:val="standardContextual"/>
        </w:rPr>
        <w:t xml:space="preserve"> </w:t>
      </w:r>
      <w:r w:rsidR="00362CEC">
        <w:rPr>
          <w:rFonts w:ascii="Garamond" w:eastAsia="Aptos" w:hAnsi="Garamond" w:cs="Arial"/>
          <w:kern w:val="2"/>
          <w:sz w:val="26"/>
          <w:szCs w:val="26"/>
          <w14:ligatures w14:val="standardContextual"/>
        </w:rPr>
        <w:t>dispone di</w:t>
      </w:r>
      <w:r w:rsidR="00941B59" w:rsidRPr="008E2B66">
        <w:rPr>
          <w:rFonts w:ascii="Garamond" w:eastAsia="Aptos" w:hAnsi="Garamond" w:cs="Arial"/>
          <w:kern w:val="2"/>
          <w:sz w:val="26"/>
          <w:szCs w:val="26"/>
          <w14:ligatures w14:val="standardContextual"/>
        </w:rPr>
        <w:t xml:space="preserve"> un unico dipendente</w:t>
      </w:r>
      <w:r w:rsidR="00362CEC">
        <w:rPr>
          <w:rFonts w:ascii="Garamond" w:eastAsia="Aptos" w:hAnsi="Garamond" w:cs="Arial"/>
          <w:kern w:val="2"/>
          <w:sz w:val="26"/>
          <w:szCs w:val="26"/>
          <w14:ligatures w14:val="standardContextual"/>
        </w:rPr>
        <w:t>; tale</w:t>
      </w:r>
      <w:r w:rsidR="00941B59" w:rsidRPr="008E2B66">
        <w:rPr>
          <w:rFonts w:ascii="Garamond" w:eastAsia="Aptos" w:hAnsi="Garamond" w:cs="Arial"/>
          <w:kern w:val="2"/>
          <w:sz w:val="26"/>
          <w:szCs w:val="26"/>
          <w14:ligatures w14:val="standardContextual"/>
        </w:rPr>
        <w:t xml:space="preserve"> misura, pertanto, non </w:t>
      </w:r>
      <w:r w:rsidR="005D3672" w:rsidRPr="008E2B66">
        <w:rPr>
          <w:rFonts w:ascii="Garamond" w:eastAsia="Aptos" w:hAnsi="Garamond" w:cs="Arial"/>
          <w:kern w:val="2"/>
          <w:sz w:val="26"/>
          <w:szCs w:val="26"/>
          <w14:ligatures w14:val="standardContextual"/>
        </w:rPr>
        <w:t xml:space="preserve">è stata </w:t>
      </w:r>
      <w:r w:rsidR="00941B59" w:rsidRPr="008E2B66">
        <w:rPr>
          <w:rFonts w:ascii="Garamond" w:eastAsia="Aptos" w:hAnsi="Garamond" w:cs="Arial"/>
          <w:kern w:val="2"/>
          <w:sz w:val="26"/>
          <w:szCs w:val="26"/>
          <w14:ligatures w14:val="standardContextual"/>
        </w:rPr>
        <w:t>riprogrammata per il 2025 e sarà oggetto di nuova analisi.</w:t>
      </w:r>
    </w:p>
    <w:p w14:paraId="77FCE942" w14:textId="58B91602" w:rsidR="00D00F17" w:rsidRPr="008E2B66" w:rsidRDefault="000C6EE3" w:rsidP="00CA543E">
      <w:pPr>
        <w:spacing w:after="80" w:line="276" w:lineRule="auto"/>
        <w:jc w:val="both"/>
        <w:rPr>
          <w:rFonts w:ascii="Garamond" w:eastAsiaTheme="minorHAnsi" w:hAnsi="Garamond" w:cs="Arial"/>
          <w:kern w:val="2"/>
          <w:sz w:val="26"/>
          <w:szCs w:val="26"/>
          <w14:ligatures w14:val="standardContextual"/>
        </w:rPr>
      </w:pPr>
      <w:r w:rsidRPr="008E2B66">
        <w:rPr>
          <w:rFonts w:ascii="Garamond" w:eastAsiaTheme="minorHAnsi" w:hAnsi="Garamond" w:cs="Arial"/>
          <w:kern w:val="2"/>
          <w:sz w:val="26"/>
          <w:szCs w:val="26"/>
          <w14:ligatures w14:val="standardContextual"/>
        </w:rPr>
        <w:t xml:space="preserve">Si </w:t>
      </w:r>
      <w:r w:rsidR="00AD0D08" w:rsidRPr="008E2B66">
        <w:rPr>
          <w:rFonts w:ascii="Garamond" w:eastAsiaTheme="minorHAnsi" w:hAnsi="Garamond" w:cs="Arial"/>
          <w:kern w:val="2"/>
          <w:sz w:val="26"/>
          <w:szCs w:val="26"/>
          <w14:ligatures w14:val="standardContextual"/>
        </w:rPr>
        <w:t>evidenzia, altresì,</w:t>
      </w:r>
      <w:r w:rsidRPr="008E2B66">
        <w:rPr>
          <w:rFonts w:ascii="Garamond" w:eastAsiaTheme="minorHAnsi" w:hAnsi="Garamond" w:cs="Arial"/>
          <w:kern w:val="2"/>
          <w:sz w:val="26"/>
          <w:szCs w:val="26"/>
          <w14:ligatures w14:val="standardContextual"/>
        </w:rPr>
        <w:t xml:space="preserve"> che</w:t>
      </w:r>
      <w:r w:rsidR="00362CEC">
        <w:rPr>
          <w:rFonts w:ascii="Garamond" w:eastAsiaTheme="minorHAnsi" w:hAnsi="Garamond" w:cs="Arial"/>
          <w:kern w:val="2"/>
          <w:sz w:val="26"/>
          <w:szCs w:val="26"/>
          <w14:ligatures w14:val="standardContextual"/>
        </w:rPr>
        <w:t xml:space="preserve"> - </w:t>
      </w:r>
      <w:r w:rsidRPr="008E2B66">
        <w:rPr>
          <w:rFonts w:ascii="Garamond" w:eastAsiaTheme="minorHAnsi" w:hAnsi="Garamond" w:cs="Arial"/>
          <w:kern w:val="2"/>
          <w:sz w:val="26"/>
          <w:szCs w:val="26"/>
          <w14:ligatures w14:val="standardContextual"/>
        </w:rPr>
        <w:t>c</w:t>
      </w:r>
      <w:r w:rsidR="00D00F17" w:rsidRPr="008E2B66">
        <w:rPr>
          <w:rFonts w:ascii="Garamond" w:eastAsiaTheme="minorHAnsi" w:hAnsi="Garamond" w:cs="Arial"/>
          <w:kern w:val="2"/>
          <w:sz w:val="26"/>
          <w:szCs w:val="26"/>
          <w14:ligatures w14:val="standardContextual"/>
        </w:rPr>
        <w:t xml:space="preserve">on riferimento alle ipotesi di rischi e alle misure specifiche dell’area </w:t>
      </w:r>
      <w:r w:rsidR="00D00F17" w:rsidRPr="00362CEC">
        <w:rPr>
          <w:rFonts w:ascii="Garamond" w:eastAsiaTheme="minorHAnsi" w:hAnsi="Garamond" w:cs="Arial"/>
          <w:i/>
          <w:iCs/>
          <w:kern w:val="2"/>
          <w:sz w:val="26"/>
          <w:szCs w:val="26"/>
          <w14:ligatures w14:val="standardContextual"/>
        </w:rPr>
        <w:t>Contratti pubblici</w:t>
      </w:r>
      <w:r w:rsidR="00D00F17" w:rsidRPr="008E2B66">
        <w:rPr>
          <w:rFonts w:ascii="Garamond" w:eastAsiaTheme="minorHAnsi" w:hAnsi="Garamond" w:cs="Arial"/>
          <w:kern w:val="2"/>
          <w:sz w:val="26"/>
          <w:szCs w:val="26"/>
          <w14:ligatures w14:val="standardContextual"/>
        </w:rPr>
        <w:t>,</w:t>
      </w:r>
      <w:r w:rsidR="00362CEC">
        <w:rPr>
          <w:rFonts w:ascii="Garamond" w:eastAsiaTheme="minorHAnsi" w:hAnsi="Garamond" w:cs="Arial"/>
          <w:kern w:val="2"/>
          <w:sz w:val="26"/>
          <w:szCs w:val="26"/>
          <w14:ligatures w14:val="standardContextual"/>
        </w:rPr>
        <w:t xml:space="preserve"> - </w:t>
      </w:r>
      <w:r w:rsidR="00220FC1" w:rsidRPr="008E2B66">
        <w:rPr>
          <w:rFonts w:ascii="Garamond" w:eastAsiaTheme="minorHAnsi" w:hAnsi="Garamond" w:cs="Arial"/>
          <w:kern w:val="2"/>
          <w:sz w:val="26"/>
          <w:szCs w:val="26"/>
          <w14:ligatures w14:val="standardContextual"/>
        </w:rPr>
        <w:t xml:space="preserve">già in sede di predisposizione della sottosezione </w:t>
      </w:r>
      <w:r w:rsidR="00874246" w:rsidRPr="00362CEC">
        <w:rPr>
          <w:rFonts w:ascii="Garamond" w:eastAsiaTheme="minorHAnsi" w:hAnsi="Garamond" w:cs="Arial"/>
          <w:i/>
          <w:iCs/>
          <w:kern w:val="2"/>
          <w:sz w:val="26"/>
          <w:szCs w:val="26"/>
          <w14:ligatures w14:val="standardContextual"/>
        </w:rPr>
        <w:t>R</w:t>
      </w:r>
      <w:r w:rsidR="00220FC1" w:rsidRPr="00362CEC">
        <w:rPr>
          <w:rFonts w:ascii="Garamond" w:eastAsiaTheme="minorHAnsi" w:hAnsi="Garamond" w:cs="Arial"/>
          <w:i/>
          <w:iCs/>
          <w:kern w:val="2"/>
          <w:sz w:val="26"/>
          <w:szCs w:val="26"/>
          <w14:ligatures w14:val="standardContextual"/>
        </w:rPr>
        <w:t>ischi corruttivi e trasparenza</w:t>
      </w:r>
      <w:r w:rsidR="00220FC1" w:rsidRPr="008E2B66">
        <w:rPr>
          <w:rFonts w:ascii="Garamond" w:eastAsiaTheme="minorHAnsi" w:hAnsi="Garamond" w:cs="Arial"/>
          <w:kern w:val="2"/>
          <w:sz w:val="26"/>
          <w:szCs w:val="26"/>
          <w14:ligatures w14:val="standardContextual"/>
        </w:rPr>
        <w:t xml:space="preserve"> del precedente PIAO</w:t>
      </w:r>
      <w:r w:rsidR="00362CEC">
        <w:rPr>
          <w:rFonts w:ascii="Garamond" w:eastAsiaTheme="minorHAnsi" w:hAnsi="Garamond" w:cs="Arial"/>
          <w:kern w:val="2"/>
          <w:sz w:val="26"/>
          <w:szCs w:val="26"/>
          <w14:ligatures w14:val="standardContextual"/>
        </w:rPr>
        <w:t xml:space="preserve"> </w:t>
      </w:r>
      <w:r w:rsidR="002951B5">
        <w:rPr>
          <w:rFonts w:ascii="Garamond" w:eastAsiaTheme="minorHAnsi" w:hAnsi="Garamond" w:cs="Arial"/>
          <w:kern w:val="2"/>
          <w:sz w:val="26"/>
          <w:szCs w:val="26"/>
          <w14:ligatures w14:val="standardContextual"/>
        </w:rPr>
        <w:t>–</w:t>
      </w:r>
      <w:r w:rsidR="00AB3986" w:rsidRPr="008E2B66">
        <w:rPr>
          <w:rFonts w:ascii="Garamond" w:eastAsiaTheme="minorHAnsi" w:hAnsi="Garamond" w:cs="Arial"/>
          <w:kern w:val="2"/>
          <w:sz w:val="26"/>
          <w:szCs w:val="26"/>
          <w14:ligatures w14:val="standardContextual"/>
        </w:rPr>
        <w:t xml:space="preserve"> </w:t>
      </w:r>
      <w:r w:rsidR="00362CEC" w:rsidRPr="002951B5">
        <w:rPr>
          <w:rFonts w:ascii="Garamond" w:eastAsiaTheme="minorHAnsi" w:hAnsi="Garamond" w:cs="Arial"/>
          <w:kern w:val="2"/>
          <w:sz w:val="26"/>
          <w:szCs w:val="26"/>
          <w14:ligatures w14:val="standardContextual"/>
        </w:rPr>
        <w:t>era stato effettuato,</w:t>
      </w:r>
      <w:r w:rsidR="00362CEC">
        <w:rPr>
          <w:rFonts w:ascii="Garamond" w:eastAsiaTheme="minorHAnsi" w:hAnsi="Garamond" w:cs="Arial"/>
          <w:kern w:val="2"/>
          <w:sz w:val="26"/>
          <w:szCs w:val="26"/>
          <w14:ligatures w14:val="standardContextual"/>
        </w:rPr>
        <w:t xml:space="preserve"> </w:t>
      </w:r>
      <w:r w:rsidR="00AB3986" w:rsidRPr="008E2B66">
        <w:rPr>
          <w:rFonts w:ascii="Garamond" w:eastAsiaTheme="minorHAnsi" w:hAnsi="Garamond" w:cs="Arial"/>
          <w:kern w:val="2"/>
          <w:sz w:val="26"/>
          <w:szCs w:val="26"/>
          <w14:ligatures w14:val="standardContextual"/>
        </w:rPr>
        <w:t>con il competente Ufficio</w:t>
      </w:r>
      <w:r w:rsidR="008354B6" w:rsidRPr="008E2B66">
        <w:rPr>
          <w:rFonts w:ascii="Garamond" w:eastAsiaTheme="minorHAnsi" w:hAnsi="Garamond" w:cs="Arial"/>
          <w:kern w:val="2"/>
          <w:sz w:val="26"/>
          <w:szCs w:val="26"/>
          <w14:ligatures w14:val="standardContextual"/>
        </w:rPr>
        <w:t xml:space="preserve"> </w:t>
      </w:r>
      <w:r w:rsidR="00AD0D08" w:rsidRPr="00362CEC">
        <w:rPr>
          <w:rFonts w:ascii="Garamond" w:eastAsiaTheme="minorHAnsi" w:hAnsi="Garamond" w:cs="Arial"/>
          <w:i/>
          <w:iCs/>
          <w:kern w:val="2"/>
          <w:sz w:val="26"/>
          <w:szCs w:val="26"/>
          <w14:ligatures w14:val="standardContextual"/>
        </w:rPr>
        <w:t>N</w:t>
      </w:r>
      <w:r w:rsidR="008354B6" w:rsidRPr="00362CEC">
        <w:rPr>
          <w:rFonts w:ascii="Garamond" w:eastAsiaTheme="minorHAnsi" w:hAnsi="Garamond" w:cs="Arial"/>
          <w:i/>
          <w:iCs/>
          <w:kern w:val="2"/>
          <w:sz w:val="26"/>
          <w:szCs w:val="26"/>
          <w14:ligatures w14:val="standardContextual"/>
        </w:rPr>
        <w:t>egoziale</w:t>
      </w:r>
      <w:r w:rsidR="00AD0D08" w:rsidRPr="00362CEC">
        <w:rPr>
          <w:rFonts w:ascii="Garamond" w:eastAsiaTheme="minorHAnsi" w:hAnsi="Garamond" w:cs="Arial"/>
          <w:i/>
          <w:iCs/>
          <w:kern w:val="2"/>
          <w:sz w:val="26"/>
          <w:szCs w:val="26"/>
          <w14:ligatures w14:val="standardContextual"/>
        </w:rPr>
        <w:t>-USC5</w:t>
      </w:r>
      <w:r w:rsidR="00AB3986" w:rsidRPr="00362CEC">
        <w:rPr>
          <w:rFonts w:ascii="Garamond" w:eastAsiaTheme="minorHAnsi" w:hAnsi="Garamond" w:cs="Arial"/>
          <w:i/>
          <w:iCs/>
          <w:kern w:val="2"/>
          <w:sz w:val="26"/>
          <w:szCs w:val="26"/>
          <w14:ligatures w14:val="standardContextual"/>
        </w:rPr>
        <w:t>,</w:t>
      </w:r>
      <w:r w:rsidR="00220FC1" w:rsidRPr="008E2B66">
        <w:rPr>
          <w:rFonts w:ascii="Garamond" w:eastAsiaTheme="minorHAnsi" w:hAnsi="Garamond" w:cs="Arial"/>
          <w:kern w:val="2"/>
          <w:sz w:val="26"/>
          <w:szCs w:val="26"/>
          <w14:ligatures w14:val="standardContextual"/>
        </w:rPr>
        <w:t xml:space="preserve"> un adeguamento di alcuni processi e sottoprocessi nonché di alcune misure specifiche </w:t>
      </w:r>
      <w:r w:rsidR="00362CEC">
        <w:rPr>
          <w:rFonts w:ascii="Garamond" w:eastAsiaTheme="minorHAnsi" w:hAnsi="Garamond" w:cs="Arial"/>
          <w:kern w:val="2"/>
          <w:sz w:val="26"/>
          <w:szCs w:val="26"/>
          <w14:ligatures w14:val="standardContextual"/>
        </w:rPr>
        <w:t xml:space="preserve">in ragione </w:t>
      </w:r>
      <w:r w:rsidR="00362CEC">
        <w:rPr>
          <w:rFonts w:ascii="Garamond" w:eastAsiaTheme="minorHAnsi" w:hAnsi="Garamond" w:cs="Arial"/>
          <w:kern w:val="2"/>
          <w:sz w:val="26"/>
          <w:szCs w:val="26"/>
          <w14:ligatures w14:val="standardContextual"/>
        </w:rPr>
        <w:lastRenderedPageBreak/>
        <w:t>del</w:t>
      </w:r>
      <w:r w:rsidR="00220FC1" w:rsidRPr="008E2B66">
        <w:rPr>
          <w:rFonts w:ascii="Garamond" w:eastAsiaTheme="minorHAnsi" w:hAnsi="Garamond" w:cs="Arial"/>
          <w:kern w:val="2"/>
          <w:sz w:val="26"/>
          <w:szCs w:val="26"/>
          <w14:ligatures w14:val="standardContextual"/>
        </w:rPr>
        <w:t>l’entrata in vigore D</w:t>
      </w:r>
      <w:r w:rsidR="00566AE6" w:rsidRPr="008E2B66">
        <w:rPr>
          <w:rFonts w:ascii="Garamond" w:eastAsiaTheme="minorHAnsi" w:hAnsi="Garamond" w:cs="Arial"/>
          <w:kern w:val="2"/>
          <w:sz w:val="26"/>
          <w:szCs w:val="26"/>
          <w14:ligatures w14:val="standardContextual"/>
        </w:rPr>
        <w:t>l</w:t>
      </w:r>
      <w:r w:rsidR="00220FC1" w:rsidRPr="008E2B66">
        <w:rPr>
          <w:rFonts w:ascii="Garamond" w:eastAsiaTheme="minorHAnsi" w:hAnsi="Garamond" w:cs="Arial"/>
          <w:kern w:val="2"/>
          <w:sz w:val="26"/>
          <w:szCs w:val="26"/>
          <w14:ligatures w14:val="standardContextual"/>
        </w:rPr>
        <w:t>gs. n. 36/2023</w:t>
      </w:r>
      <w:r w:rsidR="00AB3986" w:rsidRPr="008E2B66">
        <w:rPr>
          <w:rFonts w:ascii="Garamond" w:eastAsiaTheme="minorHAnsi" w:hAnsi="Garamond" w:cs="Arial"/>
          <w:kern w:val="2"/>
          <w:sz w:val="26"/>
          <w:szCs w:val="26"/>
          <w14:ligatures w14:val="standardContextual"/>
        </w:rPr>
        <w:t>.</w:t>
      </w:r>
      <w:r w:rsidRPr="008E2B66">
        <w:rPr>
          <w:rFonts w:ascii="Garamond" w:eastAsiaTheme="minorHAnsi" w:hAnsi="Garamond" w:cs="Arial"/>
          <w:kern w:val="2"/>
          <w:sz w:val="26"/>
          <w:szCs w:val="26"/>
          <w14:ligatures w14:val="standardContextual"/>
        </w:rPr>
        <w:t xml:space="preserve"> </w:t>
      </w:r>
      <w:r w:rsidR="00474885" w:rsidRPr="008E2B66">
        <w:rPr>
          <w:rFonts w:ascii="Garamond" w:eastAsiaTheme="minorHAnsi" w:hAnsi="Garamond" w:cs="Arial"/>
          <w:kern w:val="2"/>
          <w:sz w:val="26"/>
          <w:szCs w:val="26"/>
          <w14:ligatures w14:val="standardContextual"/>
        </w:rPr>
        <w:t xml:space="preserve">Si ritiene, pertanto, </w:t>
      </w:r>
      <w:r w:rsidR="00362CEC">
        <w:rPr>
          <w:rFonts w:ascii="Garamond" w:eastAsiaTheme="minorHAnsi" w:hAnsi="Garamond" w:cs="Arial"/>
          <w:kern w:val="2"/>
          <w:sz w:val="26"/>
          <w:szCs w:val="26"/>
          <w14:ligatures w14:val="standardContextual"/>
        </w:rPr>
        <w:t xml:space="preserve">opportuno, </w:t>
      </w:r>
      <w:r w:rsidR="00362CEC" w:rsidRPr="00362CEC">
        <w:rPr>
          <w:rFonts w:ascii="Garamond" w:eastAsiaTheme="minorHAnsi" w:hAnsi="Garamond" w:cs="Arial"/>
          <w:kern w:val="2"/>
          <w:sz w:val="26"/>
          <w:szCs w:val="26"/>
          <w14:ligatures w14:val="standardContextual"/>
        </w:rPr>
        <w:t xml:space="preserve">proseguire tale </w:t>
      </w:r>
      <w:r w:rsidR="00BF37B7" w:rsidRPr="008E2B66">
        <w:rPr>
          <w:rFonts w:ascii="Garamond" w:eastAsiaTheme="minorHAnsi" w:hAnsi="Garamond" w:cs="Arial"/>
          <w:kern w:val="2"/>
          <w:sz w:val="26"/>
          <w:szCs w:val="26"/>
          <w14:ligatures w14:val="standardContextual"/>
        </w:rPr>
        <w:t>attività sulla base</w:t>
      </w:r>
      <w:r w:rsidR="00AB3986" w:rsidRPr="008E2B66">
        <w:rPr>
          <w:rFonts w:ascii="Garamond" w:eastAsiaTheme="minorHAnsi" w:hAnsi="Garamond" w:cs="Arial"/>
          <w:kern w:val="2"/>
          <w:sz w:val="26"/>
          <w:szCs w:val="26"/>
          <w14:ligatures w14:val="standardContextual"/>
        </w:rPr>
        <w:t xml:space="preserve"> delle indicazioni in materia contenute </w:t>
      </w:r>
      <w:r w:rsidR="00BF37B7" w:rsidRPr="002951B5">
        <w:rPr>
          <w:rFonts w:ascii="Garamond" w:eastAsiaTheme="minorHAnsi" w:hAnsi="Garamond" w:cs="Arial"/>
          <w:kern w:val="2"/>
          <w:sz w:val="26"/>
          <w:szCs w:val="26"/>
          <w14:ligatures w14:val="standardContextual"/>
        </w:rPr>
        <w:t>ne</w:t>
      </w:r>
      <w:r w:rsidR="008354B6" w:rsidRPr="002951B5">
        <w:rPr>
          <w:rFonts w:ascii="Garamond" w:eastAsiaTheme="minorHAnsi" w:hAnsi="Garamond" w:cs="Arial"/>
          <w:kern w:val="2"/>
          <w:sz w:val="26"/>
          <w:szCs w:val="26"/>
          <w14:ligatures w14:val="standardContextual"/>
        </w:rPr>
        <w:t xml:space="preserve">gli </w:t>
      </w:r>
      <w:r w:rsidR="00D70525" w:rsidRPr="002951B5">
        <w:rPr>
          <w:rFonts w:ascii="Garamond" w:eastAsiaTheme="minorHAnsi" w:hAnsi="Garamond" w:cs="Arial"/>
          <w:kern w:val="2"/>
          <w:sz w:val="26"/>
          <w:szCs w:val="26"/>
          <w14:ligatures w14:val="standardContextual"/>
        </w:rPr>
        <w:t>ultimi PNA</w:t>
      </w:r>
      <w:r w:rsidR="008354B6" w:rsidRPr="002951B5">
        <w:rPr>
          <w:rFonts w:ascii="Garamond" w:eastAsiaTheme="minorHAnsi" w:hAnsi="Garamond" w:cs="Arial"/>
          <w:kern w:val="2"/>
          <w:sz w:val="26"/>
          <w:szCs w:val="26"/>
          <w14:ligatures w14:val="standardContextual"/>
        </w:rPr>
        <w:t>.</w:t>
      </w:r>
      <w:r w:rsidR="008354B6" w:rsidRPr="008E2B66">
        <w:rPr>
          <w:rFonts w:ascii="Garamond" w:eastAsiaTheme="minorHAnsi" w:hAnsi="Garamond" w:cs="Arial"/>
          <w:kern w:val="2"/>
          <w:sz w:val="26"/>
          <w:szCs w:val="26"/>
          <w14:ligatures w14:val="standardContextual"/>
        </w:rPr>
        <w:t xml:space="preserve"> </w:t>
      </w:r>
    </w:p>
    <w:p w14:paraId="1757D745" w14:textId="77777777" w:rsidR="008354B6" w:rsidRPr="008E2B66" w:rsidRDefault="008354B6" w:rsidP="000A6740">
      <w:pPr>
        <w:spacing w:line="360" w:lineRule="auto"/>
        <w:jc w:val="both"/>
        <w:rPr>
          <w:rFonts w:ascii="Garamond" w:hAnsi="Garamond" w:cs="Arial"/>
          <w:b/>
          <w:bCs/>
          <w:sz w:val="26"/>
          <w:szCs w:val="26"/>
        </w:rPr>
      </w:pPr>
    </w:p>
    <w:p w14:paraId="06451A3C" w14:textId="5B897FCC" w:rsidR="000A6740" w:rsidRPr="008E2B66" w:rsidRDefault="000A6740" w:rsidP="000A6740">
      <w:pPr>
        <w:spacing w:line="360" w:lineRule="auto"/>
        <w:jc w:val="both"/>
        <w:rPr>
          <w:rFonts w:ascii="Garamond" w:hAnsi="Garamond" w:cs="Arial"/>
          <w:b/>
          <w:bCs/>
          <w:sz w:val="26"/>
          <w:szCs w:val="26"/>
        </w:rPr>
      </w:pPr>
      <w:r w:rsidRPr="008E2B66">
        <w:rPr>
          <w:rFonts w:ascii="Garamond" w:hAnsi="Garamond" w:cs="Arial"/>
          <w:b/>
          <w:bCs/>
          <w:sz w:val="26"/>
          <w:szCs w:val="26"/>
        </w:rPr>
        <w:t>2.3.</w:t>
      </w:r>
      <w:r w:rsidR="00821AC3" w:rsidRPr="008E2B66">
        <w:rPr>
          <w:rFonts w:ascii="Garamond" w:hAnsi="Garamond" w:cs="Arial"/>
          <w:b/>
          <w:bCs/>
          <w:sz w:val="26"/>
          <w:szCs w:val="26"/>
        </w:rPr>
        <w:t>3.</w:t>
      </w:r>
      <w:r w:rsidRPr="008E2B66">
        <w:rPr>
          <w:rFonts w:ascii="Garamond" w:hAnsi="Garamond" w:cs="Arial"/>
          <w:b/>
          <w:bCs/>
          <w:sz w:val="26"/>
          <w:szCs w:val="26"/>
        </w:rPr>
        <w:t xml:space="preserve"> Trasparenza</w:t>
      </w:r>
    </w:p>
    <w:p w14:paraId="1D5A6750" w14:textId="0A58A881" w:rsidR="00384E57" w:rsidRPr="002951B5" w:rsidRDefault="00384E57" w:rsidP="000A6740">
      <w:pPr>
        <w:spacing w:line="360" w:lineRule="auto"/>
        <w:jc w:val="both"/>
        <w:rPr>
          <w:rFonts w:ascii="Garamond" w:hAnsi="Garamond" w:cs="Arial"/>
          <w:b/>
          <w:bCs/>
          <w:sz w:val="26"/>
          <w:szCs w:val="26"/>
        </w:rPr>
      </w:pPr>
      <w:r w:rsidRPr="002951B5">
        <w:rPr>
          <w:rFonts w:ascii="Garamond" w:hAnsi="Garamond" w:cs="Arial"/>
          <w:b/>
          <w:bCs/>
          <w:sz w:val="26"/>
          <w:szCs w:val="26"/>
        </w:rPr>
        <w:t>Premessa</w:t>
      </w:r>
    </w:p>
    <w:p w14:paraId="19E6D873" w14:textId="1DA7431F" w:rsidR="00463C07" w:rsidRPr="008E2B66" w:rsidRDefault="00463C07" w:rsidP="00CA543E">
      <w:pPr>
        <w:autoSpaceDE w:val="0"/>
        <w:autoSpaceDN w:val="0"/>
        <w:adjustRightInd w:val="0"/>
        <w:spacing w:after="80" w:line="276" w:lineRule="auto"/>
        <w:jc w:val="both"/>
        <w:rPr>
          <w:rFonts w:ascii="Garamond" w:hAnsi="Garamond" w:cs="Arial"/>
          <w:sz w:val="26"/>
          <w:szCs w:val="26"/>
        </w:rPr>
      </w:pPr>
      <w:r w:rsidRPr="002951B5">
        <w:rPr>
          <w:rFonts w:ascii="Garamond" w:hAnsi="Garamond" w:cs="Arial"/>
          <w:sz w:val="26"/>
          <w:szCs w:val="26"/>
        </w:rPr>
        <w:t xml:space="preserve">La Trasparenza </w:t>
      </w:r>
      <w:r w:rsidR="00ED4045" w:rsidRPr="002951B5">
        <w:rPr>
          <w:rFonts w:ascii="Garamond" w:hAnsi="Garamond" w:cs="Arial"/>
          <w:sz w:val="26"/>
          <w:szCs w:val="26"/>
        </w:rPr>
        <w:t xml:space="preserve">è </w:t>
      </w:r>
      <w:r w:rsidR="008A4E62" w:rsidRPr="002951B5">
        <w:rPr>
          <w:rFonts w:ascii="Garamond" w:hAnsi="Garamond" w:cs="Arial"/>
          <w:sz w:val="26"/>
          <w:szCs w:val="26"/>
        </w:rPr>
        <w:t xml:space="preserve">una misura </w:t>
      </w:r>
      <w:r w:rsidR="00362CEC" w:rsidRPr="002951B5">
        <w:rPr>
          <w:rFonts w:ascii="Garamond" w:hAnsi="Garamond" w:cs="Arial"/>
          <w:sz w:val="26"/>
          <w:szCs w:val="26"/>
        </w:rPr>
        <w:t xml:space="preserve">molto rilevante </w:t>
      </w:r>
      <w:r w:rsidR="00CB0BCE" w:rsidRPr="002951B5">
        <w:rPr>
          <w:rFonts w:ascii="Garamond" w:hAnsi="Garamond" w:cs="Arial"/>
          <w:sz w:val="26"/>
          <w:szCs w:val="26"/>
        </w:rPr>
        <w:t>per la prevenzione della corruzione</w:t>
      </w:r>
      <w:r w:rsidR="00EA4DC9" w:rsidRPr="002951B5">
        <w:rPr>
          <w:rFonts w:ascii="Garamond" w:hAnsi="Garamond" w:cs="Arial"/>
          <w:sz w:val="26"/>
          <w:szCs w:val="26"/>
        </w:rPr>
        <w:t xml:space="preserve"> </w:t>
      </w:r>
      <w:r w:rsidR="00362CEC" w:rsidRPr="002951B5">
        <w:rPr>
          <w:rFonts w:ascii="Garamond" w:hAnsi="Garamond" w:cs="Arial"/>
          <w:sz w:val="26"/>
          <w:szCs w:val="26"/>
        </w:rPr>
        <w:t xml:space="preserve">poiché </w:t>
      </w:r>
      <w:r w:rsidR="00EA4DC9" w:rsidRPr="002951B5">
        <w:rPr>
          <w:rFonts w:ascii="Garamond" w:hAnsi="Garamond" w:cs="Arial"/>
          <w:sz w:val="26"/>
          <w:szCs w:val="26"/>
        </w:rPr>
        <w:t>strumentale alla promozione dell’integrità</w:t>
      </w:r>
      <w:r w:rsidR="008E4712" w:rsidRPr="002951B5">
        <w:rPr>
          <w:rFonts w:ascii="Garamond" w:hAnsi="Garamond" w:cs="Arial"/>
          <w:sz w:val="26"/>
          <w:szCs w:val="26"/>
        </w:rPr>
        <w:t xml:space="preserve"> e</w:t>
      </w:r>
      <w:r w:rsidR="001651D4" w:rsidRPr="002951B5">
        <w:rPr>
          <w:rFonts w:ascii="Garamond" w:hAnsi="Garamond" w:cs="Arial"/>
          <w:sz w:val="26"/>
          <w:szCs w:val="26"/>
        </w:rPr>
        <w:t xml:space="preserve"> </w:t>
      </w:r>
      <w:r w:rsidR="00362CEC" w:rsidRPr="002951B5">
        <w:rPr>
          <w:rFonts w:ascii="Garamond" w:hAnsi="Garamond" w:cs="Arial"/>
          <w:sz w:val="26"/>
          <w:szCs w:val="26"/>
        </w:rPr>
        <w:t xml:space="preserve">alla diffusione </w:t>
      </w:r>
      <w:r w:rsidR="001651D4" w:rsidRPr="002951B5">
        <w:rPr>
          <w:rFonts w:ascii="Garamond" w:hAnsi="Garamond" w:cs="Arial"/>
          <w:sz w:val="26"/>
          <w:szCs w:val="26"/>
        </w:rPr>
        <w:t xml:space="preserve">della </w:t>
      </w:r>
      <w:r w:rsidR="008E4712" w:rsidRPr="002951B5">
        <w:rPr>
          <w:rFonts w:ascii="Garamond" w:hAnsi="Garamond" w:cs="Arial"/>
          <w:sz w:val="26"/>
          <w:szCs w:val="26"/>
        </w:rPr>
        <w:t>cultura</w:t>
      </w:r>
      <w:r w:rsidR="001651D4" w:rsidRPr="002951B5">
        <w:rPr>
          <w:rFonts w:ascii="Garamond" w:hAnsi="Garamond" w:cs="Arial"/>
          <w:sz w:val="26"/>
          <w:szCs w:val="26"/>
        </w:rPr>
        <w:t xml:space="preserve"> della legalità</w:t>
      </w:r>
      <w:r w:rsidR="008E4712" w:rsidRPr="002951B5">
        <w:rPr>
          <w:rFonts w:ascii="Garamond" w:hAnsi="Garamond" w:cs="Arial"/>
          <w:sz w:val="26"/>
          <w:szCs w:val="26"/>
        </w:rPr>
        <w:t xml:space="preserve"> in ogni ambito dell’attività pubblica.</w:t>
      </w:r>
    </w:p>
    <w:p w14:paraId="4386A90B" w14:textId="3E00011C" w:rsidR="00384E57" w:rsidRPr="008E2B66" w:rsidRDefault="00384E57" w:rsidP="00CA543E">
      <w:pPr>
        <w:autoSpaceDE w:val="0"/>
        <w:autoSpaceDN w:val="0"/>
        <w:adjustRightInd w:val="0"/>
        <w:spacing w:after="80" w:line="276" w:lineRule="auto"/>
        <w:jc w:val="both"/>
        <w:rPr>
          <w:rFonts w:ascii="Garamond" w:hAnsi="Garamond" w:cs="Arial"/>
          <w:b/>
          <w:bCs/>
          <w:sz w:val="26"/>
          <w:szCs w:val="26"/>
        </w:rPr>
      </w:pPr>
      <w:r w:rsidRPr="008E2B66">
        <w:rPr>
          <w:rFonts w:ascii="Garamond" w:hAnsi="Garamond" w:cs="Arial"/>
          <w:sz w:val="26"/>
          <w:szCs w:val="26"/>
        </w:rPr>
        <w:t>All’interno della presente sottosezione</w:t>
      </w:r>
      <w:r w:rsidR="00362CEC">
        <w:rPr>
          <w:rFonts w:ascii="Garamond" w:hAnsi="Garamond" w:cs="Arial"/>
          <w:sz w:val="26"/>
          <w:szCs w:val="26"/>
        </w:rPr>
        <w:t>,</w:t>
      </w:r>
      <w:r w:rsidRPr="008E2B66">
        <w:rPr>
          <w:rFonts w:ascii="Garamond" w:hAnsi="Garamond" w:cs="Arial"/>
          <w:sz w:val="26"/>
          <w:szCs w:val="26"/>
        </w:rPr>
        <w:t xml:space="preserve"> sono state individuate le misure e gli strumenti attuativi degli obblighi di trasparenza e di pubblicazione previsti dalla normativa vigente, ivi comprese quelle di natura organizzativa, intese ad assicurare la regolarità e la tempestività dei flussi informativi ai sensi degli articoli 10 e 43, c. 3 del </w:t>
      </w:r>
      <w:r w:rsidR="00566AE6" w:rsidRPr="008E2B66">
        <w:rPr>
          <w:rFonts w:ascii="Garamond" w:hAnsi="Garamond" w:cs="Arial"/>
          <w:sz w:val="26"/>
          <w:szCs w:val="26"/>
        </w:rPr>
        <w:t>D</w:t>
      </w:r>
      <w:r w:rsidRPr="008E2B66">
        <w:rPr>
          <w:rFonts w:ascii="Garamond" w:hAnsi="Garamond" w:cs="Arial"/>
          <w:sz w:val="26"/>
          <w:szCs w:val="26"/>
        </w:rPr>
        <w:t>.lgs. n. 33/2013.</w:t>
      </w:r>
    </w:p>
    <w:p w14:paraId="1122B838" w14:textId="7289437B" w:rsidR="001D4666" w:rsidRPr="002951B5" w:rsidRDefault="007B09C1" w:rsidP="00CA543E">
      <w:pPr>
        <w:autoSpaceDE w:val="0"/>
        <w:autoSpaceDN w:val="0"/>
        <w:adjustRightInd w:val="0"/>
        <w:spacing w:after="80" w:line="276" w:lineRule="auto"/>
        <w:jc w:val="both"/>
        <w:rPr>
          <w:rFonts w:ascii="Garamond" w:hAnsi="Garamond" w:cs="Arial"/>
          <w:sz w:val="26"/>
          <w:szCs w:val="26"/>
        </w:rPr>
      </w:pPr>
      <w:r w:rsidRPr="002951B5">
        <w:rPr>
          <w:rFonts w:ascii="Garamond" w:hAnsi="Garamond" w:cs="Arial"/>
          <w:sz w:val="26"/>
          <w:szCs w:val="26"/>
        </w:rPr>
        <w:t>Il principale obiettivo strategico</w:t>
      </w:r>
      <w:r w:rsidR="004F1A96" w:rsidRPr="002951B5">
        <w:rPr>
          <w:rFonts w:ascii="Garamond" w:hAnsi="Garamond" w:cs="Arial"/>
          <w:sz w:val="26"/>
          <w:szCs w:val="26"/>
        </w:rPr>
        <w:t xml:space="preserve"> </w:t>
      </w:r>
      <w:r w:rsidR="00362CEC" w:rsidRPr="002951B5">
        <w:rPr>
          <w:rFonts w:ascii="Garamond" w:hAnsi="Garamond" w:cs="Arial"/>
          <w:sz w:val="26"/>
          <w:szCs w:val="26"/>
        </w:rPr>
        <w:t xml:space="preserve">dell’Ente, </w:t>
      </w:r>
      <w:r w:rsidR="004F1A96" w:rsidRPr="002951B5">
        <w:rPr>
          <w:rFonts w:ascii="Garamond" w:hAnsi="Garamond" w:cs="Arial"/>
          <w:sz w:val="26"/>
          <w:szCs w:val="26"/>
        </w:rPr>
        <w:t>in materia di Trasparenza</w:t>
      </w:r>
      <w:r w:rsidR="00FB4161" w:rsidRPr="002951B5">
        <w:rPr>
          <w:rFonts w:ascii="Garamond" w:hAnsi="Garamond" w:cs="Arial"/>
          <w:sz w:val="26"/>
          <w:szCs w:val="26"/>
        </w:rPr>
        <w:t xml:space="preserve">, in conformità a quanto previsto dal PNA 2025, </w:t>
      </w:r>
      <w:r w:rsidR="00362CEC" w:rsidRPr="002951B5">
        <w:rPr>
          <w:rFonts w:ascii="Garamond" w:hAnsi="Garamond" w:cs="Arial"/>
          <w:sz w:val="26"/>
          <w:szCs w:val="26"/>
        </w:rPr>
        <w:t xml:space="preserve">riguarderà </w:t>
      </w:r>
      <w:r w:rsidR="00FB4161" w:rsidRPr="002951B5">
        <w:rPr>
          <w:rFonts w:ascii="Garamond" w:hAnsi="Garamond" w:cs="Arial"/>
          <w:sz w:val="26"/>
          <w:szCs w:val="26"/>
        </w:rPr>
        <w:t>l’incremento dei livelli di trasparenza e access</w:t>
      </w:r>
      <w:r w:rsidR="007D5811" w:rsidRPr="002951B5">
        <w:rPr>
          <w:rFonts w:ascii="Garamond" w:hAnsi="Garamond" w:cs="Arial"/>
          <w:sz w:val="26"/>
          <w:szCs w:val="26"/>
        </w:rPr>
        <w:t>ibilità delle informazioni pubblicate dall’Ente.</w:t>
      </w:r>
    </w:p>
    <w:p w14:paraId="0332B9EE" w14:textId="4DCDEEFD" w:rsidR="00561E3F" w:rsidRPr="002951B5" w:rsidRDefault="001D4666" w:rsidP="00CA543E">
      <w:pPr>
        <w:autoSpaceDE w:val="0"/>
        <w:autoSpaceDN w:val="0"/>
        <w:adjustRightInd w:val="0"/>
        <w:spacing w:after="80" w:line="276" w:lineRule="auto"/>
        <w:jc w:val="both"/>
        <w:rPr>
          <w:rFonts w:ascii="Garamond" w:hAnsi="Garamond" w:cs="Arial"/>
          <w:sz w:val="26"/>
          <w:szCs w:val="26"/>
        </w:rPr>
      </w:pPr>
      <w:r w:rsidRPr="002951B5">
        <w:rPr>
          <w:rFonts w:ascii="Garamond" w:hAnsi="Garamond" w:cs="Arial"/>
          <w:sz w:val="26"/>
          <w:szCs w:val="26"/>
        </w:rPr>
        <w:t>Giova ricordare inoltre che, con la Delibera n. 495/2024</w:t>
      </w:r>
      <w:r w:rsidR="00A43C4B" w:rsidRPr="002951B5">
        <w:rPr>
          <w:rStyle w:val="Rimandonotaapidipagina"/>
          <w:rFonts w:ascii="Garamond" w:hAnsi="Garamond" w:cs="Arial"/>
          <w:sz w:val="26"/>
          <w:szCs w:val="26"/>
        </w:rPr>
        <w:footnoteReference w:id="10"/>
      </w:r>
      <w:r w:rsidRPr="002951B5">
        <w:rPr>
          <w:rFonts w:ascii="Garamond" w:hAnsi="Garamond" w:cs="Arial"/>
          <w:sz w:val="26"/>
          <w:szCs w:val="26"/>
        </w:rPr>
        <w:t xml:space="preserve">, </w:t>
      </w:r>
      <w:r w:rsidR="001D2B9C" w:rsidRPr="002951B5">
        <w:rPr>
          <w:rFonts w:ascii="Garamond" w:hAnsi="Garamond" w:cs="Arial"/>
          <w:sz w:val="26"/>
          <w:szCs w:val="26"/>
        </w:rPr>
        <w:t>l’ANAC</w:t>
      </w:r>
      <w:r w:rsidRPr="002951B5">
        <w:rPr>
          <w:rFonts w:ascii="Garamond" w:hAnsi="Garamond" w:cs="Arial"/>
          <w:sz w:val="26"/>
          <w:szCs w:val="26"/>
        </w:rPr>
        <w:t xml:space="preserve"> ha approvato </w:t>
      </w:r>
      <w:r w:rsidR="001D2B9C" w:rsidRPr="002951B5">
        <w:rPr>
          <w:rFonts w:ascii="Garamond" w:hAnsi="Garamond" w:cs="Arial"/>
          <w:sz w:val="26"/>
          <w:szCs w:val="26"/>
        </w:rPr>
        <w:t>tre</w:t>
      </w:r>
      <w:r w:rsidRPr="002951B5">
        <w:rPr>
          <w:rFonts w:ascii="Garamond" w:hAnsi="Garamond" w:cs="Arial"/>
          <w:sz w:val="26"/>
          <w:szCs w:val="26"/>
        </w:rPr>
        <w:t xml:space="preserve"> nuovi schemi di pubblicazione all’interno della sezione </w:t>
      </w:r>
      <w:r w:rsidRPr="002951B5">
        <w:rPr>
          <w:rFonts w:ascii="Garamond" w:hAnsi="Garamond" w:cs="Arial"/>
          <w:i/>
          <w:iCs/>
          <w:sz w:val="26"/>
          <w:szCs w:val="26"/>
        </w:rPr>
        <w:t>Amministrazione Trasparente</w:t>
      </w:r>
      <w:r w:rsidRPr="002951B5">
        <w:rPr>
          <w:rFonts w:ascii="Garamond" w:hAnsi="Garamond" w:cs="Arial"/>
          <w:sz w:val="26"/>
          <w:szCs w:val="26"/>
        </w:rPr>
        <w:t xml:space="preserve"> per la gestione delle informazioni di cui agli articoli 4</w:t>
      </w:r>
      <w:r w:rsidR="00362CEC" w:rsidRPr="002951B5">
        <w:rPr>
          <w:rFonts w:ascii="Garamond" w:hAnsi="Garamond" w:cs="Arial"/>
          <w:sz w:val="26"/>
          <w:szCs w:val="26"/>
        </w:rPr>
        <w:t xml:space="preserve"> </w:t>
      </w:r>
      <w:r w:rsidRPr="002951B5">
        <w:rPr>
          <w:rFonts w:ascii="Garamond" w:hAnsi="Garamond" w:cs="Arial"/>
          <w:sz w:val="26"/>
          <w:szCs w:val="26"/>
        </w:rPr>
        <w:t xml:space="preserve">bis, 13 e 31 del già citato </w:t>
      </w:r>
      <w:r w:rsidR="00362CEC" w:rsidRPr="002951B5">
        <w:rPr>
          <w:rFonts w:ascii="Garamond" w:hAnsi="Garamond" w:cs="Arial"/>
          <w:sz w:val="26"/>
          <w:szCs w:val="26"/>
        </w:rPr>
        <w:t>D</w:t>
      </w:r>
      <w:r w:rsidRPr="002951B5">
        <w:rPr>
          <w:rFonts w:ascii="Garamond" w:hAnsi="Garamond" w:cs="Arial"/>
          <w:sz w:val="26"/>
          <w:szCs w:val="26"/>
        </w:rPr>
        <w:t xml:space="preserve">lgs. 33/2013, con l’obiettivo di semplificare le attività di pubblicazione e consultazione, grazie a modalità uniformi di organizzazione, codificazione e rappresentazione delle stesse, utili a garantire uniformità e comparabilità dei dati. </w:t>
      </w:r>
    </w:p>
    <w:p w14:paraId="3C630E0C" w14:textId="77777777" w:rsidR="007605A6" w:rsidRPr="002951B5" w:rsidRDefault="001D4666" w:rsidP="00CA543E">
      <w:pPr>
        <w:autoSpaceDE w:val="0"/>
        <w:autoSpaceDN w:val="0"/>
        <w:adjustRightInd w:val="0"/>
        <w:spacing w:after="80" w:line="276" w:lineRule="auto"/>
        <w:jc w:val="both"/>
        <w:rPr>
          <w:rFonts w:ascii="Garamond" w:hAnsi="Garamond" w:cs="Arial"/>
          <w:sz w:val="26"/>
          <w:szCs w:val="26"/>
        </w:rPr>
      </w:pPr>
      <w:r w:rsidRPr="002951B5">
        <w:rPr>
          <w:rFonts w:ascii="Garamond" w:hAnsi="Garamond" w:cs="Arial"/>
          <w:sz w:val="26"/>
          <w:szCs w:val="26"/>
        </w:rPr>
        <w:t xml:space="preserve">Gli aggiornamenti riguardano diversi ambiti: </w:t>
      </w:r>
    </w:p>
    <w:p w14:paraId="72936EDD" w14:textId="43CA210F" w:rsidR="001D4666" w:rsidRPr="002951B5" w:rsidRDefault="001D4666" w:rsidP="00CA543E">
      <w:pPr>
        <w:autoSpaceDE w:val="0"/>
        <w:autoSpaceDN w:val="0"/>
        <w:adjustRightInd w:val="0"/>
        <w:spacing w:after="80" w:line="276" w:lineRule="auto"/>
        <w:jc w:val="both"/>
        <w:rPr>
          <w:rFonts w:ascii="Garamond" w:hAnsi="Garamond" w:cs="Arial"/>
          <w:sz w:val="26"/>
          <w:szCs w:val="26"/>
        </w:rPr>
      </w:pPr>
      <w:r w:rsidRPr="002951B5">
        <w:rPr>
          <w:rFonts w:ascii="Garamond" w:hAnsi="Garamond" w:cs="Arial"/>
          <w:sz w:val="26"/>
          <w:szCs w:val="26"/>
        </w:rPr>
        <w:t>- art. 4-bis (</w:t>
      </w:r>
      <w:r w:rsidRPr="002951B5">
        <w:rPr>
          <w:rFonts w:ascii="Garamond" w:hAnsi="Garamond" w:cs="Arial"/>
          <w:i/>
          <w:iCs/>
          <w:sz w:val="26"/>
          <w:szCs w:val="26"/>
        </w:rPr>
        <w:t>utilizzo delle risorse pubbliche</w:t>
      </w:r>
      <w:r w:rsidRPr="002951B5">
        <w:rPr>
          <w:rFonts w:ascii="Garamond" w:hAnsi="Garamond" w:cs="Arial"/>
          <w:sz w:val="26"/>
          <w:szCs w:val="26"/>
        </w:rPr>
        <w:t>), pubblicazione dei dati relativi ai pagamenti delle amministra</w:t>
      </w:r>
      <w:r w:rsidR="000212A3" w:rsidRPr="002951B5">
        <w:rPr>
          <w:rFonts w:ascii="Garamond" w:hAnsi="Garamond" w:cs="Arial"/>
          <w:sz w:val="26"/>
          <w:szCs w:val="26"/>
        </w:rPr>
        <w:t xml:space="preserve">zioni </w:t>
      </w:r>
      <w:r w:rsidR="00814934" w:rsidRPr="002951B5">
        <w:rPr>
          <w:rFonts w:ascii="Garamond" w:hAnsi="Garamond" w:cs="Arial"/>
          <w:sz w:val="26"/>
          <w:szCs w:val="26"/>
        </w:rPr>
        <w:t>suddivisi per tipologia di spesa, periodo di riferimento e beneficiari;</w:t>
      </w:r>
    </w:p>
    <w:p w14:paraId="19C1FB38" w14:textId="7839EFA1" w:rsidR="007605A6" w:rsidRPr="002951B5" w:rsidRDefault="00EA5AEA" w:rsidP="00CA543E">
      <w:pPr>
        <w:autoSpaceDE w:val="0"/>
        <w:autoSpaceDN w:val="0"/>
        <w:adjustRightInd w:val="0"/>
        <w:spacing w:after="80" w:line="276" w:lineRule="auto"/>
        <w:jc w:val="both"/>
        <w:rPr>
          <w:rFonts w:ascii="Garamond" w:hAnsi="Garamond" w:cs="Arial"/>
          <w:sz w:val="26"/>
          <w:szCs w:val="26"/>
        </w:rPr>
      </w:pPr>
      <w:r w:rsidRPr="002951B5">
        <w:rPr>
          <w:rFonts w:ascii="Garamond" w:hAnsi="Garamond" w:cs="Arial"/>
          <w:sz w:val="26"/>
          <w:szCs w:val="26"/>
        </w:rPr>
        <w:t>- art. 13 (</w:t>
      </w:r>
      <w:r w:rsidRPr="002951B5">
        <w:rPr>
          <w:rFonts w:ascii="Garamond" w:hAnsi="Garamond" w:cs="Arial"/>
          <w:i/>
          <w:iCs/>
          <w:sz w:val="26"/>
          <w:szCs w:val="26"/>
        </w:rPr>
        <w:t>organizzazione</w:t>
      </w:r>
      <w:r w:rsidRPr="002951B5">
        <w:rPr>
          <w:rFonts w:ascii="Garamond" w:hAnsi="Garamond" w:cs="Arial"/>
          <w:sz w:val="26"/>
          <w:szCs w:val="26"/>
        </w:rPr>
        <w:t>), obblighi di trasparenza concernenti l’organizzazione delle Amministrazioni;</w:t>
      </w:r>
    </w:p>
    <w:p w14:paraId="76312099" w14:textId="6B0A8DCC" w:rsidR="00EA5AEA" w:rsidRPr="002951B5" w:rsidRDefault="00EA5AEA" w:rsidP="00CA543E">
      <w:pPr>
        <w:autoSpaceDE w:val="0"/>
        <w:autoSpaceDN w:val="0"/>
        <w:adjustRightInd w:val="0"/>
        <w:spacing w:after="80" w:line="276" w:lineRule="auto"/>
        <w:jc w:val="both"/>
        <w:rPr>
          <w:rFonts w:ascii="Garamond" w:hAnsi="Garamond" w:cs="Arial"/>
          <w:sz w:val="26"/>
          <w:szCs w:val="26"/>
        </w:rPr>
      </w:pPr>
      <w:r w:rsidRPr="002951B5">
        <w:rPr>
          <w:rFonts w:ascii="Garamond" w:hAnsi="Garamond" w:cs="Arial"/>
          <w:sz w:val="26"/>
          <w:szCs w:val="26"/>
        </w:rPr>
        <w:t xml:space="preserve">- </w:t>
      </w:r>
      <w:r w:rsidR="000F56F6" w:rsidRPr="002951B5">
        <w:rPr>
          <w:rFonts w:ascii="Garamond" w:hAnsi="Garamond" w:cs="Arial"/>
          <w:sz w:val="26"/>
          <w:szCs w:val="26"/>
        </w:rPr>
        <w:t>art. 31 (</w:t>
      </w:r>
      <w:r w:rsidR="000F56F6" w:rsidRPr="002951B5">
        <w:rPr>
          <w:rFonts w:ascii="Garamond" w:hAnsi="Garamond" w:cs="Arial"/>
          <w:i/>
          <w:iCs/>
          <w:sz w:val="26"/>
          <w:szCs w:val="26"/>
        </w:rPr>
        <w:t>controlli su attività e organizzazione</w:t>
      </w:r>
      <w:r w:rsidR="000F56F6" w:rsidRPr="002951B5">
        <w:rPr>
          <w:rFonts w:ascii="Garamond" w:hAnsi="Garamond" w:cs="Arial"/>
          <w:sz w:val="26"/>
          <w:szCs w:val="26"/>
        </w:rPr>
        <w:t>), dati relativi ai controlli sull’organizzazione e sull’attività dell’Amministrazione tra cui gli atti degli OIV</w:t>
      </w:r>
      <w:r w:rsidR="006A57E7" w:rsidRPr="002951B5">
        <w:rPr>
          <w:rFonts w:ascii="Garamond" w:hAnsi="Garamond" w:cs="Arial"/>
          <w:sz w:val="26"/>
          <w:szCs w:val="26"/>
        </w:rPr>
        <w:t xml:space="preserve">, </w:t>
      </w:r>
      <w:r w:rsidR="00503616" w:rsidRPr="002951B5">
        <w:rPr>
          <w:rFonts w:ascii="Garamond" w:hAnsi="Garamond" w:cs="Arial"/>
          <w:sz w:val="26"/>
          <w:szCs w:val="26"/>
        </w:rPr>
        <w:t xml:space="preserve">le relazioni degli organi </w:t>
      </w:r>
      <w:r w:rsidR="00532C1D" w:rsidRPr="002951B5">
        <w:rPr>
          <w:rFonts w:ascii="Garamond" w:hAnsi="Garamond" w:cs="Arial"/>
          <w:sz w:val="26"/>
          <w:szCs w:val="26"/>
        </w:rPr>
        <w:t xml:space="preserve">di revisione amministrativa e contabile </w:t>
      </w:r>
      <w:r w:rsidR="006C10AC" w:rsidRPr="002951B5">
        <w:rPr>
          <w:rFonts w:ascii="Garamond" w:hAnsi="Garamond" w:cs="Arial"/>
          <w:sz w:val="26"/>
          <w:szCs w:val="26"/>
        </w:rPr>
        <w:t>al bilancio di previsione o budget, alle relative variazioni e al conto consuntivo o bilancio di esercizio, tutti i rilievi ancorché non recepiti della Corte dei conti riguardanti l'organizzazione e l'attività delle amministrazioni.</w:t>
      </w:r>
      <w:r w:rsidR="00170351" w:rsidRPr="002951B5">
        <w:rPr>
          <w:rFonts w:ascii="Garamond" w:hAnsi="Garamond" w:cs="Arial"/>
          <w:sz w:val="26"/>
          <w:szCs w:val="26"/>
        </w:rPr>
        <w:t xml:space="preserve"> </w:t>
      </w:r>
    </w:p>
    <w:p w14:paraId="757CC189" w14:textId="5C86ED0C" w:rsidR="00E57A90" w:rsidRPr="002951B5" w:rsidRDefault="00232711" w:rsidP="00CA543E">
      <w:pPr>
        <w:autoSpaceDE w:val="0"/>
        <w:autoSpaceDN w:val="0"/>
        <w:adjustRightInd w:val="0"/>
        <w:spacing w:after="80" w:line="276" w:lineRule="auto"/>
        <w:jc w:val="both"/>
        <w:rPr>
          <w:rFonts w:ascii="Garamond" w:hAnsi="Garamond" w:cs="Arial"/>
          <w:i/>
          <w:iCs/>
          <w:sz w:val="26"/>
          <w:szCs w:val="26"/>
        </w:rPr>
      </w:pPr>
      <w:r w:rsidRPr="002951B5">
        <w:rPr>
          <w:rFonts w:ascii="Garamond" w:hAnsi="Garamond" w:cs="Arial"/>
          <w:sz w:val="26"/>
          <w:szCs w:val="26"/>
        </w:rPr>
        <w:t>Per ciascun</w:t>
      </w:r>
      <w:r w:rsidR="00DF2200" w:rsidRPr="002951B5">
        <w:rPr>
          <w:rFonts w:ascii="Garamond" w:hAnsi="Garamond" w:cs="Arial"/>
          <w:sz w:val="26"/>
          <w:szCs w:val="26"/>
        </w:rPr>
        <w:t>a</w:t>
      </w:r>
      <w:r w:rsidR="002951B5" w:rsidRPr="002951B5">
        <w:rPr>
          <w:rFonts w:ascii="Garamond" w:hAnsi="Garamond" w:cs="Arial"/>
          <w:sz w:val="26"/>
          <w:szCs w:val="26"/>
        </w:rPr>
        <w:t xml:space="preserve"> </w:t>
      </w:r>
      <w:r w:rsidR="00362CEC" w:rsidRPr="002951B5">
        <w:rPr>
          <w:rFonts w:ascii="Garamond" w:hAnsi="Garamond" w:cs="Arial"/>
          <w:sz w:val="26"/>
          <w:szCs w:val="26"/>
        </w:rPr>
        <w:t xml:space="preserve">delle sezioni suddette, </w:t>
      </w:r>
      <w:r w:rsidR="00DF2200" w:rsidRPr="002951B5">
        <w:rPr>
          <w:rFonts w:ascii="Garamond" w:hAnsi="Garamond" w:cs="Arial"/>
          <w:sz w:val="26"/>
          <w:szCs w:val="26"/>
        </w:rPr>
        <w:t>ANAC ha predisposto uno schema standard a cui anche il CREA si è adeguato modificando l</w:t>
      </w:r>
      <w:r w:rsidR="00720AF4" w:rsidRPr="002951B5">
        <w:rPr>
          <w:rFonts w:ascii="Garamond" w:hAnsi="Garamond" w:cs="Arial"/>
          <w:sz w:val="26"/>
          <w:szCs w:val="26"/>
        </w:rPr>
        <w:t xml:space="preserve">a propria </w:t>
      </w:r>
      <w:r w:rsidR="0021320B" w:rsidRPr="002951B5">
        <w:rPr>
          <w:rFonts w:ascii="Garamond" w:hAnsi="Garamond" w:cs="Arial"/>
          <w:sz w:val="26"/>
          <w:szCs w:val="26"/>
        </w:rPr>
        <w:t xml:space="preserve">sezione </w:t>
      </w:r>
      <w:r w:rsidR="002D620A" w:rsidRPr="002951B5">
        <w:rPr>
          <w:rFonts w:ascii="Garamond" w:hAnsi="Garamond" w:cs="Arial"/>
          <w:sz w:val="26"/>
          <w:szCs w:val="26"/>
        </w:rPr>
        <w:t>in</w:t>
      </w:r>
      <w:r w:rsidR="0021320B" w:rsidRPr="002951B5">
        <w:rPr>
          <w:rFonts w:ascii="Garamond" w:hAnsi="Garamond" w:cs="Arial"/>
          <w:sz w:val="26"/>
          <w:szCs w:val="26"/>
        </w:rPr>
        <w:t xml:space="preserve"> </w:t>
      </w:r>
      <w:r w:rsidR="0021320B" w:rsidRPr="002951B5">
        <w:rPr>
          <w:rFonts w:ascii="Garamond" w:hAnsi="Garamond" w:cs="Arial"/>
          <w:i/>
          <w:iCs/>
          <w:sz w:val="26"/>
          <w:szCs w:val="26"/>
        </w:rPr>
        <w:t xml:space="preserve">Amministrazione Trasparente. </w:t>
      </w:r>
    </w:p>
    <w:p w14:paraId="7E614073" w14:textId="671DE4FB" w:rsidR="005F6578" w:rsidRPr="002951B5" w:rsidRDefault="005F6578" w:rsidP="005F6578">
      <w:pPr>
        <w:spacing w:after="80" w:line="276" w:lineRule="auto"/>
        <w:contextualSpacing/>
        <w:jc w:val="both"/>
        <w:rPr>
          <w:rFonts w:ascii="Garamond" w:hAnsi="Garamond" w:cs="Arial"/>
          <w:sz w:val="26"/>
          <w:szCs w:val="26"/>
        </w:rPr>
      </w:pPr>
      <w:r w:rsidRPr="002951B5">
        <w:rPr>
          <w:rFonts w:ascii="Garamond" w:hAnsi="Garamond" w:cs="Arial"/>
          <w:sz w:val="26"/>
          <w:szCs w:val="26"/>
        </w:rPr>
        <w:t xml:space="preserve">Con la </w:t>
      </w:r>
      <w:r w:rsidR="0021320B" w:rsidRPr="002951B5">
        <w:rPr>
          <w:rFonts w:ascii="Garamond" w:hAnsi="Garamond" w:cs="Arial"/>
          <w:sz w:val="26"/>
          <w:szCs w:val="26"/>
        </w:rPr>
        <w:t xml:space="preserve">medesima </w:t>
      </w:r>
      <w:r w:rsidR="002D620A" w:rsidRPr="002951B5">
        <w:rPr>
          <w:rFonts w:ascii="Garamond" w:hAnsi="Garamond" w:cs="Arial"/>
          <w:sz w:val="26"/>
          <w:szCs w:val="26"/>
        </w:rPr>
        <w:t>D</w:t>
      </w:r>
      <w:r w:rsidR="0021320B" w:rsidRPr="002951B5">
        <w:rPr>
          <w:rFonts w:ascii="Garamond" w:hAnsi="Garamond" w:cs="Arial"/>
          <w:sz w:val="26"/>
          <w:szCs w:val="26"/>
        </w:rPr>
        <w:t xml:space="preserve">elibera n. </w:t>
      </w:r>
      <w:r w:rsidR="00E5128B" w:rsidRPr="002951B5">
        <w:rPr>
          <w:rFonts w:ascii="Garamond" w:hAnsi="Garamond" w:cs="Arial"/>
          <w:sz w:val="26"/>
          <w:szCs w:val="26"/>
        </w:rPr>
        <w:t xml:space="preserve">495/2024 </w:t>
      </w:r>
      <w:r w:rsidR="002D620A" w:rsidRPr="002951B5">
        <w:rPr>
          <w:rFonts w:ascii="Garamond" w:hAnsi="Garamond" w:cs="Arial"/>
          <w:sz w:val="26"/>
          <w:szCs w:val="26"/>
        </w:rPr>
        <w:t xml:space="preserve">sono state anche introdotte </w:t>
      </w:r>
      <w:r w:rsidRPr="002951B5">
        <w:rPr>
          <w:rFonts w:ascii="Garamond" w:hAnsi="Garamond" w:cs="Arial"/>
          <w:sz w:val="26"/>
          <w:szCs w:val="26"/>
        </w:rPr>
        <w:t xml:space="preserve">procedure di validazione per determinate categorie di dati. La validazione è un processo fondamentale che precede la pubblicazione, finalizzato ad assicurare la qualità del dato attraverso una verifica sistematica. Tale </w:t>
      </w:r>
      <w:r w:rsidRPr="002951B5">
        <w:rPr>
          <w:rFonts w:ascii="Garamond" w:hAnsi="Garamond" w:cs="Arial"/>
          <w:sz w:val="26"/>
          <w:szCs w:val="26"/>
        </w:rPr>
        <w:lastRenderedPageBreak/>
        <w:t xml:space="preserve">processo, che deve essere documentato per iscritto, può essere affidato al Dirigente/Direttore del Centro </w:t>
      </w:r>
      <w:r w:rsidR="002D620A" w:rsidRPr="002951B5">
        <w:rPr>
          <w:rFonts w:ascii="Garamond" w:hAnsi="Garamond" w:cs="Arial"/>
          <w:sz w:val="26"/>
          <w:szCs w:val="26"/>
        </w:rPr>
        <w:t xml:space="preserve">di ricerca </w:t>
      </w:r>
      <w:r w:rsidRPr="002951B5">
        <w:rPr>
          <w:rFonts w:ascii="Garamond" w:hAnsi="Garamond" w:cs="Arial"/>
          <w:sz w:val="26"/>
          <w:szCs w:val="26"/>
        </w:rPr>
        <w:t>responsabile della pubblicazione/trasmissione del dato.</w:t>
      </w:r>
    </w:p>
    <w:p w14:paraId="4B82BEAD" w14:textId="77777777" w:rsidR="007D5811" w:rsidRPr="002951B5" w:rsidRDefault="007D5811" w:rsidP="00384E57">
      <w:pPr>
        <w:autoSpaceDE w:val="0"/>
        <w:autoSpaceDN w:val="0"/>
        <w:adjustRightInd w:val="0"/>
        <w:spacing w:line="360" w:lineRule="auto"/>
        <w:jc w:val="both"/>
        <w:rPr>
          <w:rFonts w:ascii="Garamond" w:hAnsi="Garamond" w:cs="Arial"/>
          <w:sz w:val="26"/>
          <w:szCs w:val="26"/>
        </w:rPr>
      </w:pPr>
    </w:p>
    <w:p w14:paraId="200FD64D" w14:textId="2047629A" w:rsidR="00384E57" w:rsidRPr="008E2B66" w:rsidRDefault="00821AC3" w:rsidP="00B55234">
      <w:pPr>
        <w:autoSpaceDE w:val="0"/>
        <w:autoSpaceDN w:val="0"/>
        <w:adjustRightInd w:val="0"/>
        <w:spacing w:after="80" w:line="276" w:lineRule="auto"/>
        <w:contextualSpacing/>
        <w:jc w:val="both"/>
        <w:rPr>
          <w:rFonts w:ascii="Garamond" w:hAnsi="Garamond" w:cs="Arial"/>
          <w:b/>
          <w:bCs/>
          <w:sz w:val="26"/>
          <w:szCs w:val="26"/>
        </w:rPr>
      </w:pPr>
      <w:r w:rsidRPr="002951B5">
        <w:rPr>
          <w:rFonts w:ascii="Garamond" w:hAnsi="Garamond" w:cs="Arial"/>
          <w:b/>
          <w:bCs/>
          <w:sz w:val="26"/>
          <w:szCs w:val="26"/>
        </w:rPr>
        <w:t xml:space="preserve">2.3.3.1 </w:t>
      </w:r>
      <w:r w:rsidR="00384E57" w:rsidRPr="002951B5">
        <w:rPr>
          <w:rFonts w:ascii="Garamond" w:hAnsi="Garamond" w:cs="Arial"/>
          <w:b/>
          <w:bCs/>
          <w:sz w:val="26"/>
          <w:szCs w:val="26"/>
        </w:rPr>
        <w:t>Definizione dei flussi per la pubblicazione dei dati ed individuazione dei responsabili</w:t>
      </w:r>
    </w:p>
    <w:p w14:paraId="2E9C24FA" w14:textId="77777777" w:rsidR="00B55234" w:rsidRPr="008E2B66" w:rsidRDefault="00B55234" w:rsidP="00B55234">
      <w:pPr>
        <w:autoSpaceDE w:val="0"/>
        <w:autoSpaceDN w:val="0"/>
        <w:adjustRightInd w:val="0"/>
        <w:spacing w:after="80" w:line="276" w:lineRule="auto"/>
        <w:contextualSpacing/>
        <w:jc w:val="both"/>
        <w:rPr>
          <w:rFonts w:ascii="Garamond" w:hAnsi="Garamond" w:cs="Arial"/>
          <w:sz w:val="26"/>
          <w:szCs w:val="26"/>
        </w:rPr>
      </w:pPr>
    </w:p>
    <w:p w14:paraId="1A9D1081" w14:textId="6AA972B5" w:rsidR="00384E57" w:rsidRPr="008E2B66" w:rsidRDefault="00384E57" w:rsidP="00B55234">
      <w:pPr>
        <w:autoSpaceDE w:val="0"/>
        <w:autoSpaceDN w:val="0"/>
        <w:adjustRightInd w:val="0"/>
        <w:spacing w:after="80" w:line="276" w:lineRule="auto"/>
        <w:contextualSpacing/>
        <w:jc w:val="both"/>
        <w:rPr>
          <w:rFonts w:ascii="Garamond" w:hAnsi="Garamond" w:cs="Arial"/>
          <w:sz w:val="26"/>
          <w:szCs w:val="26"/>
        </w:rPr>
      </w:pPr>
      <w:r w:rsidRPr="008E2B66">
        <w:rPr>
          <w:rFonts w:ascii="Garamond" w:hAnsi="Garamond" w:cs="Arial"/>
          <w:sz w:val="26"/>
          <w:szCs w:val="26"/>
        </w:rPr>
        <w:t xml:space="preserve">Ai sensi del disposto dell’art. 10 del d.lgs. n. 33/2013, come modificato dal </w:t>
      </w:r>
      <w:r w:rsidR="00566AE6" w:rsidRPr="008E2B66">
        <w:rPr>
          <w:rFonts w:ascii="Garamond" w:hAnsi="Garamond" w:cs="Arial"/>
          <w:sz w:val="26"/>
          <w:szCs w:val="26"/>
        </w:rPr>
        <w:t>D</w:t>
      </w:r>
      <w:r w:rsidRPr="008E2B66">
        <w:rPr>
          <w:rFonts w:ascii="Garamond" w:hAnsi="Garamond" w:cs="Arial"/>
          <w:sz w:val="26"/>
          <w:szCs w:val="26"/>
        </w:rPr>
        <w:t>lgs. n. 97/2016, si è provveduto a rappresentare</w:t>
      </w:r>
      <w:r w:rsidR="002D620A">
        <w:rPr>
          <w:rFonts w:ascii="Garamond" w:hAnsi="Garamond" w:cs="Arial"/>
          <w:sz w:val="26"/>
          <w:szCs w:val="26"/>
        </w:rPr>
        <w:t>,</w:t>
      </w:r>
      <w:r w:rsidRPr="008E2B66">
        <w:rPr>
          <w:rFonts w:ascii="Garamond" w:hAnsi="Garamond" w:cs="Arial"/>
          <w:sz w:val="26"/>
          <w:szCs w:val="26"/>
        </w:rPr>
        <w:t xml:space="preserve"> nell</w:t>
      </w:r>
      <w:r w:rsidR="00395AC6">
        <w:rPr>
          <w:rFonts w:ascii="Garamond" w:hAnsi="Garamond" w:cs="Arial"/>
          <w:sz w:val="26"/>
          <w:szCs w:val="26"/>
        </w:rPr>
        <w:t>a</w:t>
      </w:r>
      <w:r w:rsidRPr="008E2B66">
        <w:rPr>
          <w:rFonts w:ascii="Garamond" w:hAnsi="Garamond" w:cs="Arial"/>
          <w:sz w:val="26"/>
          <w:szCs w:val="26"/>
        </w:rPr>
        <w:t xml:space="preserve"> tabell</w:t>
      </w:r>
      <w:r w:rsidR="00395AC6">
        <w:rPr>
          <w:rFonts w:ascii="Garamond" w:hAnsi="Garamond" w:cs="Arial"/>
          <w:sz w:val="26"/>
          <w:szCs w:val="26"/>
        </w:rPr>
        <w:t>a</w:t>
      </w:r>
      <w:r w:rsidRPr="008E2B66">
        <w:rPr>
          <w:rFonts w:ascii="Garamond" w:hAnsi="Garamond" w:cs="Arial"/>
          <w:sz w:val="26"/>
          <w:szCs w:val="26"/>
        </w:rPr>
        <w:t xml:space="preserve"> di cui </w:t>
      </w:r>
      <w:r w:rsidR="00395AC6" w:rsidRPr="00395AC6">
        <w:rPr>
          <w:rFonts w:ascii="Garamond" w:hAnsi="Garamond" w:cs="Arial"/>
          <w:sz w:val="26"/>
          <w:szCs w:val="26"/>
        </w:rPr>
        <w:t>all’</w:t>
      </w:r>
      <w:r w:rsidRPr="00395AC6">
        <w:rPr>
          <w:rFonts w:ascii="Garamond" w:hAnsi="Garamond" w:cs="Arial"/>
          <w:b/>
          <w:bCs/>
          <w:sz w:val="26"/>
          <w:szCs w:val="26"/>
        </w:rPr>
        <w:t>Allegat</w:t>
      </w:r>
      <w:r w:rsidR="00395AC6" w:rsidRPr="00395AC6">
        <w:rPr>
          <w:rFonts w:ascii="Garamond" w:hAnsi="Garamond" w:cs="Arial"/>
          <w:b/>
          <w:bCs/>
          <w:sz w:val="26"/>
          <w:szCs w:val="26"/>
        </w:rPr>
        <w:t>o</w:t>
      </w:r>
      <w:r w:rsidRPr="00395AC6">
        <w:rPr>
          <w:rFonts w:ascii="Garamond" w:hAnsi="Garamond" w:cs="Arial"/>
          <w:b/>
          <w:bCs/>
          <w:sz w:val="26"/>
          <w:szCs w:val="26"/>
        </w:rPr>
        <w:t xml:space="preserve"> 2</w:t>
      </w:r>
      <w:r w:rsidR="002D620A" w:rsidRPr="00395AC6">
        <w:rPr>
          <w:rFonts w:ascii="Garamond" w:hAnsi="Garamond" w:cs="Arial"/>
          <w:sz w:val="26"/>
          <w:szCs w:val="26"/>
        </w:rPr>
        <w:t>,</w:t>
      </w:r>
      <w:r w:rsidR="00395AC6" w:rsidRPr="008E2B66">
        <w:rPr>
          <w:rFonts w:ascii="Garamond" w:hAnsi="Garamond" w:cs="Arial"/>
          <w:sz w:val="26"/>
          <w:szCs w:val="26"/>
        </w:rPr>
        <w:t xml:space="preserve"> </w:t>
      </w:r>
      <w:r w:rsidRPr="008E2B66">
        <w:rPr>
          <w:rFonts w:ascii="Garamond" w:hAnsi="Garamond" w:cs="Arial"/>
          <w:sz w:val="26"/>
          <w:szCs w:val="26"/>
        </w:rPr>
        <w:t>i flussi per la pubblicazione dei dati.</w:t>
      </w:r>
    </w:p>
    <w:p w14:paraId="3826313D" w14:textId="31A5253D" w:rsidR="0014467E" w:rsidRPr="008E2B66" w:rsidRDefault="00384E57" w:rsidP="00B55234">
      <w:pPr>
        <w:autoSpaceDE w:val="0"/>
        <w:autoSpaceDN w:val="0"/>
        <w:adjustRightInd w:val="0"/>
        <w:spacing w:after="80" w:line="276" w:lineRule="auto"/>
        <w:contextualSpacing/>
        <w:jc w:val="both"/>
        <w:rPr>
          <w:rFonts w:ascii="Garamond" w:hAnsi="Garamond" w:cs="Arial"/>
          <w:sz w:val="26"/>
          <w:szCs w:val="26"/>
        </w:rPr>
      </w:pPr>
      <w:r w:rsidRPr="008E2B66">
        <w:rPr>
          <w:rFonts w:ascii="Garamond" w:hAnsi="Garamond" w:cs="Arial"/>
          <w:sz w:val="26"/>
          <w:szCs w:val="26"/>
        </w:rPr>
        <w:t xml:space="preserve"> La situazione rappresentata tiene conto dell’organizzazione dell’Ente e si basa sulla responsabilizzazione di ogni singolo </w:t>
      </w:r>
      <w:r w:rsidR="0018053D" w:rsidRPr="008E2B66">
        <w:rPr>
          <w:rFonts w:ascii="Garamond" w:hAnsi="Garamond" w:cs="Arial"/>
          <w:sz w:val="26"/>
          <w:szCs w:val="26"/>
        </w:rPr>
        <w:t>U</w:t>
      </w:r>
      <w:r w:rsidRPr="008E2B66">
        <w:rPr>
          <w:rFonts w:ascii="Garamond" w:hAnsi="Garamond" w:cs="Arial"/>
          <w:sz w:val="26"/>
          <w:szCs w:val="26"/>
        </w:rPr>
        <w:t>fficio e dei relativi dirigenti, cui compete principalmente l’elaborazione e trasmissione dei dati e delle informazioni</w:t>
      </w:r>
      <w:r w:rsidR="00D04905" w:rsidRPr="008E2B66">
        <w:rPr>
          <w:rFonts w:ascii="Garamond" w:hAnsi="Garamond" w:cs="Arial"/>
          <w:sz w:val="26"/>
          <w:szCs w:val="26"/>
        </w:rPr>
        <w:t xml:space="preserve"> </w:t>
      </w:r>
      <w:r w:rsidR="00F100F4" w:rsidRPr="008E2B66">
        <w:rPr>
          <w:rFonts w:ascii="Garamond" w:hAnsi="Garamond" w:cs="Arial"/>
          <w:sz w:val="26"/>
          <w:szCs w:val="26"/>
        </w:rPr>
        <w:t>in formato digitale</w:t>
      </w:r>
      <w:r w:rsidR="000B2614" w:rsidRPr="008E2B66">
        <w:rPr>
          <w:rFonts w:ascii="Garamond" w:hAnsi="Garamond" w:cs="Arial"/>
          <w:sz w:val="26"/>
          <w:szCs w:val="26"/>
        </w:rPr>
        <w:t xml:space="preserve"> di tipo aperto e accessibile</w:t>
      </w:r>
      <w:r w:rsidRPr="008E2B66">
        <w:rPr>
          <w:rFonts w:ascii="Garamond" w:hAnsi="Garamond" w:cs="Arial"/>
          <w:sz w:val="26"/>
          <w:szCs w:val="26"/>
        </w:rPr>
        <w:t>,</w:t>
      </w:r>
      <w:r w:rsidR="00150848" w:rsidRPr="008E2B66">
        <w:rPr>
          <w:rFonts w:ascii="Garamond" w:hAnsi="Garamond" w:cs="Arial"/>
          <w:sz w:val="26"/>
          <w:szCs w:val="26"/>
        </w:rPr>
        <w:t xml:space="preserve"> secondo la tempistica prevista per ciascuna </w:t>
      </w:r>
      <w:r w:rsidR="00906557" w:rsidRPr="008E2B66">
        <w:rPr>
          <w:rFonts w:ascii="Garamond" w:hAnsi="Garamond" w:cs="Arial"/>
          <w:sz w:val="26"/>
          <w:szCs w:val="26"/>
        </w:rPr>
        <w:t>sottosezione</w:t>
      </w:r>
      <w:r w:rsidR="00150848" w:rsidRPr="008E2B66">
        <w:rPr>
          <w:rFonts w:ascii="Garamond" w:hAnsi="Garamond" w:cs="Arial"/>
          <w:sz w:val="26"/>
          <w:szCs w:val="26"/>
        </w:rPr>
        <w:t>,</w:t>
      </w:r>
      <w:r w:rsidRPr="008E2B66">
        <w:rPr>
          <w:rFonts w:ascii="Garamond" w:hAnsi="Garamond" w:cs="Arial"/>
          <w:sz w:val="26"/>
          <w:szCs w:val="26"/>
        </w:rPr>
        <w:t xml:space="preserve"> </w:t>
      </w:r>
      <w:r w:rsidR="00D54781" w:rsidRPr="008E2B66">
        <w:rPr>
          <w:rFonts w:ascii="Garamond" w:hAnsi="Garamond" w:cs="Arial"/>
          <w:sz w:val="26"/>
          <w:szCs w:val="26"/>
        </w:rPr>
        <w:t xml:space="preserve">mentre spetta prevalentemente al RPCT </w:t>
      </w:r>
      <w:r w:rsidR="00952DD3" w:rsidRPr="008E2B66">
        <w:rPr>
          <w:rFonts w:ascii="Garamond" w:hAnsi="Garamond" w:cs="Arial"/>
          <w:sz w:val="26"/>
          <w:szCs w:val="26"/>
        </w:rPr>
        <w:t>la relativa pubblicazione una volta accertata la completezza</w:t>
      </w:r>
      <w:r w:rsidR="00060430" w:rsidRPr="008E2B66">
        <w:rPr>
          <w:rFonts w:ascii="Garamond" w:hAnsi="Garamond" w:cs="Arial"/>
          <w:sz w:val="26"/>
          <w:szCs w:val="26"/>
        </w:rPr>
        <w:t>.</w:t>
      </w:r>
      <w:r w:rsidR="00296559" w:rsidRPr="008E2B66">
        <w:rPr>
          <w:rFonts w:ascii="Garamond" w:hAnsi="Garamond" w:cs="Arial"/>
          <w:sz w:val="26"/>
          <w:szCs w:val="26"/>
        </w:rPr>
        <w:t xml:space="preserve"> </w:t>
      </w:r>
    </w:p>
    <w:p w14:paraId="3B1D6C2F" w14:textId="2521D69F" w:rsidR="00F63DE4" w:rsidRPr="008E2B66" w:rsidRDefault="00B83AE4" w:rsidP="00B55234">
      <w:pPr>
        <w:autoSpaceDE w:val="0"/>
        <w:autoSpaceDN w:val="0"/>
        <w:adjustRightInd w:val="0"/>
        <w:spacing w:after="80" w:line="276" w:lineRule="auto"/>
        <w:contextualSpacing/>
        <w:jc w:val="both"/>
        <w:rPr>
          <w:rFonts w:ascii="Garamond" w:hAnsi="Garamond" w:cs="Arial"/>
          <w:sz w:val="26"/>
          <w:szCs w:val="26"/>
        </w:rPr>
      </w:pPr>
      <w:r w:rsidRPr="00395AC6">
        <w:rPr>
          <w:rFonts w:ascii="Garamond" w:hAnsi="Garamond" w:cs="Arial"/>
          <w:sz w:val="26"/>
          <w:szCs w:val="26"/>
        </w:rPr>
        <w:t>La trasmissione dei dati</w:t>
      </w:r>
      <w:r w:rsidR="00906557" w:rsidRPr="00395AC6">
        <w:rPr>
          <w:rFonts w:ascii="Garamond" w:hAnsi="Garamond" w:cs="Arial"/>
          <w:sz w:val="26"/>
          <w:szCs w:val="26"/>
        </w:rPr>
        <w:t xml:space="preserve"> all’</w:t>
      </w:r>
      <w:r w:rsidR="002D620A" w:rsidRPr="00395AC6">
        <w:rPr>
          <w:rFonts w:ascii="Garamond" w:hAnsi="Garamond" w:cs="Arial"/>
          <w:sz w:val="26"/>
          <w:szCs w:val="26"/>
        </w:rPr>
        <w:t>U</w:t>
      </w:r>
      <w:r w:rsidR="00906557" w:rsidRPr="00395AC6">
        <w:rPr>
          <w:rFonts w:ascii="Garamond" w:hAnsi="Garamond" w:cs="Arial"/>
          <w:sz w:val="26"/>
          <w:szCs w:val="26"/>
        </w:rPr>
        <w:t>fficio UDG2</w:t>
      </w:r>
      <w:r w:rsidRPr="00395AC6">
        <w:rPr>
          <w:rFonts w:ascii="Garamond" w:hAnsi="Garamond" w:cs="Arial"/>
          <w:sz w:val="26"/>
          <w:szCs w:val="26"/>
        </w:rPr>
        <w:t xml:space="preserve"> avviene tramite l’indirizzo di posta elettronica </w:t>
      </w:r>
      <w:hyperlink r:id="rId22" w:history="1">
        <w:r w:rsidR="00C01A16" w:rsidRPr="00395AC6">
          <w:rPr>
            <w:rStyle w:val="Collegamentoipertestuale"/>
            <w:rFonts w:ascii="Garamond" w:hAnsi="Garamond" w:cs="Arial"/>
            <w:sz w:val="26"/>
            <w:szCs w:val="26"/>
          </w:rPr>
          <w:t>responsabile.trasparenza@crea.gov.it</w:t>
        </w:r>
      </w:hyperlink>
      <w:r w:rsidR="0024273E" w:rsidRPr="00395AC6">
        <w:rPr>
          <w:rFonts w:ascii="Garamond" w:hAnsi="Garamond" w:cs="Arial"/>
          <w:sz w:val="26"/>
          <w:szCs w:val="26"/>
        </w:rPr>
        <w:t xml:space="preserve"> </w:t>
      </w:r>
      <w:r w:rsidR="008D52F9" w:rsidRPr="00395AC6">
        <w:rPr>
          <w:rFonts w:ascii="Garamond" w:hAnsi="Garamond" w:cs="Arial"/>
          <w:sz w:val="26"/>
          <w:szCs w:val="26"/>
        </w:rPr>
        <w:t xml:space="preserve">. La data di invio della </w:t>
      </w:r>
      <w:r w:rsidR="00906557" w:rsidRPr="00395AC6">
        <w:rPr>
          <w:rFonts w:ascii="Garamond" w:hAnsi="Garamond" w:cs="Arial"/>
          <w:sz w:val="26"/>
          <w:szCs w:val="26"/>
        </w:rPr>
        <w:t>e</w:t>
      </w:r>
      <w:r w:rsidR="002D620A" w:rsidRPr="00395AC6">
        <w:rPr>
          <w:rFonts w:ascii="Garamond" w:hAnsi="Garamond" w:cs="Arial"/>
          <w:sz w:val="26"/>
          <w:szCs w:val="26"/>
        </w:rPr>
        <w:t>-</w:t>
      </w:r>
      <w:r w:rsidR="008D52F9" w:rsidRPr="00395AC6">
        <w:rPr>
          <w:rFonts w:ascii="Garamond" w:hAnsi="Garamond" w:cs="Arial"/>
          <w:sz w:val="26"/>
          <w:szCs w:val="26"/>
        </w:rPr>
        <w:t>mail è considerata quale data di trasferimento dei dati per la pubblicazione.</w:t>
      </w:r>
      <w:r w:rsidR="00276D47" w:rsidRPr="00395AC6">
        <w:rPr>
          <w:rFonts w:ascii="Garamond" w:hAnsi="Garamond" w:cs="Arial"/>
          <w:sz w:val="26"/>
          <w:szCs w:val="26"/>
        </w:rPr>
        <w:t xml:space="preserve"> </w:t>
      </w:r>
      <w:r w:rsidR="00F63DE4" w:rsidRPr="00395AC6">
        <w:rPr>
          <w:rFonts w:ascii="Garamond" w:hAnsi="Garamond" w:cs="Arial"/>
          <w:sz w:val="26"/>
          <w:szCs w:val="26"/>
        </w:rPr>
        <w:t xml:space="preserve">L’ufficio </w:t>
      </w:r>
      <w:r w:rsidR="003C2057" w:rsidRPr="00395AC6">
        <w:rPr>
          <w:rFonts w:ascii="Garamond" w:hAnsi="Garamond" w:cs="Arial"/>
          <w:sz w:val="26"/>
          <w:szCs w:val="26"/>
        </w:rPr>
        <w:t>UDG2</w:t>
      </w:r>
      <w:r w:rsidR="00F63DE4" w:rsidRPr="00395AC6">
        <w:rPr>
          <w:rFonts w:ascii="Garamond" w:hAnsi="Garamond" w:cs="Arial"/>
          <w:sz w:val="26"/>
          <w:szCs w:val="26"/>
        </w:rPr>
        <w:t xml:space="preserve"> provvede alla pubblicazione dei dati sulla sezione </w:t>
      </w:r>
      <w:r w:rsidR="00F63DE4" w:rsidRPr="00395AC6">
        <w:rPr>
          <w:rFonts w:ascii="Garamond" w:hAnsi="Garamond" w:cs="Arial"/>
          <w:i/>
          <w:iCs/>
          <w:sz w:val="26"/>
          <w:szCs w:val="26"/>
        </w:rPr>
        <w:t>Amministrazione Trasparente</w:t>
      </w:r>
      <w:r w:rsidR="00F63DE4" w:rsidRPr="00395AC6">
        <w:rPr>
          <w:rFonts w:ascii="Garamond" w:hAnsi="Garamond" w:cs="Arial"/>
          <w:sz w:val="26"/>
          <w:szCs w:val="26"/>
        </w:rPr>
        <w:t xml:space="preserve"> </w:t>
      </w:r>
      <w:r w:rsidR="00827F8A" w:rsidRPr="00395AC6">
        <w:rPr>
          <w:rFonts w:ascii="Garamond" w:hAnsi="Garamond" w:cs="Arial"/>
          <w:sz w:val="26"/>
          <w:szCs w:val="26"/>
        </w:rPr>
        <w:t>nel più breve tempo possibile.</w:t>
      </w:r>
      <w:r w:rsidR="00827F8A" w:rsidRPr="008E2B66">
        <w:rPr>
          <w:rFonts w:ascii="Garamond" w:hAnsi="Garamond"/>
          <w:sz w:val="26"/>
          <w:szCs w:val="26"/>
        </w:rPr>
        <w:t xml:space="preserve"> </w:t>
      </w:r>
    </w:p>
    <w:p w14:paraId="05D11C72" w14:textId="7D5F0476" w:rsidR="00384E57" w:rsidRPr="008E2B66" w:rsidRDefault="00384E57" w:rsidP="00B55234">
      <w:pPr>
        <w:autoSpaceDE w:val="0"/>
        <w:autoSpaceDN w:val="0"/>
        <w:adjustRightInd w:val="0"/>
        <w:spacing w:after="80" w:line="276" w:lineRule="auto"/>
        <w:contextualSpacing/>
        <w:jc w:val="both"/>
        <w:rPr>
          <w:rFonts w:ascii="Garamond" w:hAnsi="Garamond" w:cs="Arial"/>
          <w:sz w:val="26"/>
          <w:szCs w:val="26"/>
        </w:rPr>
      </w:pPr>
      <w:r w:rsidRPr="008E2B66">
        <w:rPr>
          <w:rFonts w:ascii="Garamond" w:hAnsi="Garamond" w:cs="Arial"/>
          <w:sz w:val="26"/>
          <w:szCs w:val="26"/>
        </w:rPr>
        <w:t xml:space="preserve">Si specifica che sono rimessi alla diretta cura degli </w:t>
      </w:r>
      <w:r w:rsidR="00B9633E" w:rsidRPr="008E2B66">
        <w:rPr>
          <w:rFonts w:ascii="Garamond" w:hAnsi="Garamond" w:cs="Arial"/>
          <w:sz w:val="26"/>
          <w:szCs w:val="26"/>
        </w:rPr>
        <w:t>U</w:t>
      </w:r>
      <w:r w:rsidRPr="008E2B66">
        <w:rPr>
          <w:rFonts w:ascii="Garamond" w:hAnsi="Garamond" w:cs="Arial"/>
          <w:sz w:val="26"/>
          <w:szCs w:val="26"/>
        </w:rPr>
        <w:t xml:space="preserve">ffici competenti </w:t>
      </w:r>
      <w:r w:rsidR="00A20928">
        <w:rPr>
          <w:rFonts w:ascii="Garamond" w:hAnsi="Garamond" w:cs="Arial"/>
          <w:sz w:val="26"/>
          <w:szCs w:val="26"/>
        </w:rPr>
        <w:t xml:space="preserve">e dei Centri </w:t>
      </w:r>
      <w:r w:rsidRPr="008E2B66">
        <w:rPr>
          <w:rFonts w:ascii="Garamond" w:hAnsi="Garamond" w:cs="Arial"/>
          <w:sz w:val="26"/>
          <w:szCs w:val="26"/>
        </w:rPr>
        <w:t xml:space="preserve">le seguenti sezioni/sottosezioni: </w:t>
      </w:r>
    </w:p>
    <w:p w14:paraId="423D05D3" w14:textId="337D7E18" w:rsidR="00384E57" w:rsidRPr="008E2B66" w:rsidRDefault="00384E57" w:rsidP="00B55234">
      <w:pPr>
        <w:autoSpaceDE w:val="0"/>
        <w:autoSpaceDN w:val="0"/>
        <w:adjustRightInd w:val="0"/>
        <w:spacing w:after="80" w:line="276" w:lineRule="auto"/>
        <w:contextualSpacing/>
        <w:jc w:val="both"/>
        <w:rPr>
          <w:rFonts w:ascii="Garamond" w:hAnsi="Garamond" w:cs="Arial"/>
          <w:sz w:val="26"/>
          <w:szCs w:val="26"/>
        </w:rPr>
      </w:pPr>
      <w:r w:rsidRPr="008E2B66">
        <w:rPr>
          <w:rFonts w:ascii="Garamond" w:hAnsi="Garamond" w:cs="Arial"/>
          <w:sz w:val="26"/>
          <w:szCs w:val="26"/>
        </w:rPr>
        <w:t xml:space="preserve">• sezione </w:t>
      </w:r>
      <w:r w:rsidRPr="002D620A">
        <w:rPr>
          <w:rFonts w:ascii="Garamond" w:hAnsi="Garamond" w:cs="Arial"/>
          <w:i/>
          <w:iCs/>
          <w:sz w:val="26"/>
          <w:szCs w:val="26"/>
        </w:rPr>
        <w:t>Consulenti e collaboratori</w:t>
      </w:r>
      <w:r w:rsidRPr="008E2B66">
        <w:rPr>
          <w:rFonts w:ascii="Garamond" w:hAnsi="Garamond" w:cs="Arial"/>
          <w:sz w:val="26"/>
          <w:szCs w:val="26"/>
        </w:rPr>
        <w:t xml:space="preserve">: </w:t>
      </w:r>
      <w:r w:rsidRPr="002D620A">
        <w:rPr>
          <w:rFonts w:ascii="Garamond" w:hAnsi="Garamond" w:cs="Arial"/>
          <w:i/>
          <w:iCs/>
          <w:sz w:val="26"/>
          <w:szCs w:val="26"/>
        </w:rPr>
        <w:t>Ufficio Reclutamento, formazione e relazioni sindacali</w:t>
      </w:r>
      <w:r w:rsidR="00AD0D08" w:rsidRPr="002D620A">
        <w:rPr>
          <w:rFonts w:ascii="Garamond" w:hAnsi="Garamond" w:cs="Arial"/>
          <w:i/>
          <w:iCs/>
          <w:sz w:val="26"/>
          <w:szCs w:val="26"/>
        </w:rPr>
        <w:t>-USC1</w:t>
      </w:r>
      <w:r w:rsidRPr="008E2B66">
        <w:rPr>
          <w:rFonts w:ascii="Garamond" w:hAnsi="Garamond" w:cs="Arial"/>
          <w:sz w:val="26"/>
          <w:szCs w:val="26"/>
        </w:rPr>
        <w:t xml:space="preserve"> (per inserimento dati e documenti nella tabella art. 15 c. 1 e 2 D.lgs. 33/2013) e </w:t>
      </w:r>
      <w:r w:rsidR="00AD0D08" w:rsidRPr="002D620A">
        <w:rPr>
          <w:rFonts w:ascii="Garamond" w:hAnsi="Garamond" w:cs="Arial"/>
          <w:i/>
          <w:iCs/>
          <w:sz w:val="26"/>
          <w:szCs w:val="26"/>
        </w:rPr>
        <w:t xml:space="preserve">Ufficio </w:t>
      </w:r>
      <w:r w:rsidRPr="002D620A">
        <w:rPr>
          <w:rFonts w:ascii="Garamond" w:hAnsi="Garamond" w:cs="Arial"/>
          <w:i/>
          <w:iCs/>
          <w:sz w:val="26"/>
          <w:szCs w:val="26"/>
        </w:rPr>
        <w:t>Gestione del personale</w:t>
      </w:r>
      <w:r w:rsidR="00AD0D08" w:rsidRPr="002D620A">
        <w:rPr>
          <w:rFonts w:ascii="Garamond" w:hAnsi="Garamond" w:cs="Arial"/>
          <w:i/>
          <w:iCs/>
          <w:sz w:val="26"/>
          <w:szCs w:val="26"/>
        </w:rPr>
        <w:t>-USC3</w:t>
      </w:r>
      <w:r w:rsidRPr="002D620A">
        <w:rPr>
          <w:rFonts w:ascii="Garamond" w:hAnsi="Garamond" w:cs="Arial"/>
          <w:i/>
          <w:iCs/>
          <w:sz w:val="26"/>
          <w:szCs w:val="26"/>
        </w:rPr>
        <w:t xml:space="preserve"> (</w:t>
      </w:r>
      <w:r w:rsidRPr="008E2B66">
        <w:rPr>
          <w:rFonts w:ascii="Garamond" w:hAnsi="Garamond" w:cs="Arial"/>
          <w:sz w:val="26"/>
          <w:szCs w:val="26"/>
        </w:rPr>
        <w:t xml:space="preserve">per inserimento dati sul portale </w:t>
      </w:r>
      <w:r w:rsidRPr="002D620A">
        <w:rPr>
          <w:rFonts w:ascii="Garamond" w:hAnsi="Garamond" w:cs="Arial"/>
          <w:i/>
          <w:iCs/>
          <w:sz w:val="26"/>
          <w:szCs w:val="26"/>
        </w:rPr>
        <w:t>PerlaPA</w:t>
      </w:r>
      <w:r w:rsidRPr="008E2B66">
        <w:rPr>
          <w:rFonts w:ascii="Garamond" w:hAnsi="Garamond" w:cs="Arial"/>
          <w:sz w:val="26"/>
          <w:szCs w:val="26"/>
        </w:rPr>
        <w:t xml:space="preserve">) e </w:t>
      </w:r>
      <w:r w:rsidRPr="00D87C6B">
        <w:rPr>
          <w:rFonts w:ascii="Garamond" w:hAnsi="Garamond" w:cs="Arial"/>
          <w:sz w:val="26"/>
          <w:szCs w:val="26"/>
        </w:rPr>
        <w:t>Centri</w:t>
      </w:r>
      <w:r w:rsidRPr="008E2B66">
        <w:rPr>
          <w:rFonts w:ascii="Garamond" w:hAnsi="Garamond" w:cs="Arial"/>
          <w:sz w:val="26"/>
          <w:szCs w:val="26"/>
        </w:rPr>
        <w:t xml:space="preserve">; </w:t>
      </w:r>
    </w:p>
    <w:p w14:paraId="3A154346" w14:textId="43B26387" w:rsidR="00384E57" w:rsidRPr="008E2B66" w:rsidRDefault="00384E57" w:rsidP="00B55234">
      <w:pPr>
        <w:autoSpaceDE w:val="0"/>
        <w:autoSpaceDN w:val="0"/>
        <w:adjustRightInd w:val="0"/>
        <w:spacing w:after="80" w:line="276" w:lineRule="auto"/>
        <w:contextualSpacing/>
        <w:jc w:val="both"/>
        <w:rPr>
          <w:rFonts w:ascii="Garamond" w:hAnsi="Garamond" w:cs="Arial"/>
          <w:sz w:val="26"/>
          <w:szCs w:val="26"/>
        </w:rPr>
      </w:pPr>
      <w:r w:rsidRPr="008E2B66">
        <w:rPr>
          <w:rFonts w:ascii="Garamond" w:hAnsi="Garamond" w:cs="Arial"/>
          <w:sz w:val="26"/>
          <w:szCs w:val="26"/>
        </w:rPr>
        <w:t xml:space="preserve">• sezione </w:t>
      </w:r>
      <w:r w:rsidRPr="002D620A">
        <w:rPr>
          <w:rFonts w:ascii="Garamond" w:hAnsi="Garamond" w:cs="Arial"/>
          <w:i/>
          <w:iCs/>
          <w:sz w:val="26"/>
          <w:szCs w:val="26"/>
        </w:rPr>
        <w:t>Bandi di concorso</w:t>
      </w:r>
      <w:r w:rsidRPr="008E2B66">
        <w:rPr>
          <w:rFonts w:ascii="Garamond" w:hAnsi="Garamond" w:cs="Arial"/>
          <w:sz w:val="26"/>
          <w:szCs w:val="26"/>
        </w:rPr>
        <w:t xml:space="preserve">: </w:t>
      </w:r>
      <w:r w:rsidRPr="002D620A">
        <w:rPr>
          <w:rFonts w:ascii="Garamond" w:hAnsi="Garamond" w:cs="Arial"/>
          <w:i/>
          <w:iCs/>
          <w:sz w:val="26"/>
          <w:szCs w:val="26"/>
        </w:rPr>
        <w:t>Ufficio Reclutamento, formazione e relazioni sindacali</w:t>
      </w:r>
      <w:r w:rsidR="002D620A">
        <w:rPr>
          <w:rFonts w:ascii="Garamond" w:hAnsi="Garamond" w:cs="Arial"/>
          <w:i/>
          <w:iCs/>
          <w:sz w:val="26"/>
          <w:szCs w:val="26"/>
        </w:rPr>
        <w:t xml:space="preserve"> </w:t>
      </w:r>
      <w:r w:rsidR="00AB5365" w:rsidRPr="002D620A">
        <w:rPr>
          <w:rFonts w:ascii="Garamond" w:hAnsi="Garamond" w:cs="Arial"/>
          <w:i/>
          <w:iCs/>
          <w:sz w:val="26"/>
          <w:szCs w:val="26"/>
        </w:rPr>
        <w:t>USC1</w:t>
      </w:r>
      <w:r w:rsidRPr="008E2B66">
        <w:rPr>
          <w:rFonts w:ascii="Garamond" w:hAnsi="Garamond" w:cs="Arial"/>
          <w:sz w:val="26"/>
          <w:szCs w:val="26"/>
        </w:rPr>
        <w:t xml:space="preserve"> e </w:t>
      </w:r>
      <w:r w:rsidRPr="00D87C6B">
        <w:rPr>
          <w:rFonts w:ascii="Garamond" w:hAnsi="Garamond" w:cs="Arial"/>
          <w:sz w:val="26"/>
          <w:szCs w:val="26"/>
        </w:rPr>
        <w:t>Centri;</w:t>
      </w:r>
      <w:r w:rsidRPr="008E2B66">
        <w:rPr>
          <w:rFonts w:ascii="Garamond" w:hAnsi="Garamond" w:cs="Arial"/>
          <w:sz w:val="26"/>
          <w:szCs w:val="26"/>
        </w:rPr>
        <w:t xml:space="preserve"> </w:t>
      </w:r>
    </w:p>
    <w:p w14:paraId="5CC2A32E" w14:textId="793AF6DD" w:rsidR="00384E57" w:rsidRPr="008E2B66" w:rsidRDefault="00384E57" w:rsidP="00B55234">
      <w:pPr>
        <w:autoSpaceDE w:val="0"/>
        <w:autoSpaceDN w:val="0"/>
        <w:adjustRightInd w:val="0"/>
        <w:spacing w:after="80" w:line="276" w:lineRule="auto"/>
        <w:contextualSpacing/>
        <w:jc w:val="both"/>
        <w:rPr>
          <w:rFonts w:ascii="Garamond" w:hAnsi="Garamond" w:cs="Arial"/>
          <w:sz w:val="26"/>
          <w:szCs w:val="26"/>
        </w:rPr>
      </w:pPr>
      <w:r w:rsidRPr="008E2B66">
        <w:rPr>
          <w:rFonts w:ascii="Garamond" w:hAnsi="Garamond" w:cs="Arial"/>
          <w:sz w:val="26"/>
          <w:szCs w:val="26"/>
        </w:rPr>
        <w:t xml:space="preserve">• sezione </w:t>
      </w:r>
      <w:r w:rsidRPr="002D620A">
        <w:rPr>
          <w:rFonts w:ascii="Garamond" w:hAnsi="Garamond" w:cs="Arial"/>
          <w:i/>
          <w:iCs/>
          <w:sz w:val="26"/>
          <w:szCs w:val="26"/>
        </w:rPr>
        <w:t>Bandi di gara e contratti</w:t>
      </w:r>
      <w:r w:rsidRPr="008E2B66">
        <w:rPr>
          <w:rFonts w:ascii="Garamond" w:hAnsi="Garamond" w:cs="Arial"/>
          <w:sz w:val="26"/>
          <w:szCs w:val="26"/>
        </w:rPr>
        <w:t xml:space="preserve">: Ufficio </w:t>
      </w:r>
      <w:r w:rsidRPr="002D620A">
        <w:rPr>
          <w:rFonts w:ascii="Garamond" w:hAnsi="Garamond" w:cs="Arial"/>
          <w:i/>
          <w:iCs/>
          <w:sz w:val="26"/>
          <w:szCs w:val="26"/>
        </w:rPr>
        <w:t>Negoziale</w:t>
      </w:r>
      <w:r w:rsidR="002D620A">
        <w:rPr>
          <w:rFonts w:ascii="Garamond" w:hAnsi="Garamond" w:cs="Arial"/>
          <w:sz w:val="26"/>
          <w:szCs w:val="26"/>
        </w:rPr>
        <w:t xml:space="preserve"> </w:t>
      </w:r>
      <w:r w:rsidR="00AB5365" w:rsidRPr="002D620A">
        <w:rPr>
          <w:rFonts w:ascii="Garamond" w:hAnsi="Garamond" w:cs="Arial"/>
          <w:i/>
          <w:iCs/>
          <w:sz w:val="26"/>
          <w:szCs w:val="26"/>
        </w:rPr>
        <w:t>USC5</w:t>
      </w:r>
      <w:r w:rsidRPr="002D620A">
        <w:rPr>
          <w:rFonts w:ascii="Garamond" w:hAnsi="Garamond" w:cs="Arial"/>
          <w:i/>
          <w:iCs/>
          <w:sz w:val="26"/>
          <w:szCs w:val="26"/>
        </w:rPr>
        <w:t xml:space="preserve"> </w:t>
      </w:r>
      <w:r w:rsidRPr="008E2B66">
        <w:rPr>
          <w:rFonts w:ascii="Garamond" w:hAnsi="Garamond" w:cs="Arial"/>
          <w:sz w:val="26"/>
          <w:szCs w:val="26"/>
        </w:rPr>
        <w:t xml:space="preserve">e Centri; </w:t>
      </w:r>
    </w:p>
    <w:p w14:paraId="31FAF1E1" w14:textId="0E8AB8B1" w:rsidR="00384E57" w:rsidRPr="008E2B66" w:rsidRDefault="00384E57" w:rsidP="00B55234">
      <w:pPr>
        <w:autoSpaceDE w:val="0"/>
        <w:autoSpaceDN w:val="0"/>
        <w:adjustRightInd w:val="0"/>
        <w:spacing w:after="80" w:line="276" w:lineRule="auto"/>
        <w:contextualSpacing/>
        <w:jc w:val="both"/>
        <w:rPr>
          <w:rFonts w:ascii="Garamond" w:hAnsi="Garamond" w:cs="Arial"/>
          <w:sz w:val="26"/>
          <w:szCs w:val="26"/>
        </w:rPr>
      </w:pPr>
      <w:r w:rsidRPr="008E2B66">
        <w:rPr>
          <w:rFonts w:ascii="Garamond" w:hAnsi="Garamond" w:cs="Arial"/>
          <w:sz w:val="26"/>
          <w:szCs w:val="26"/>
        </w:rPr>
        <w:t xml:space="preserve">• sottosezione </w:t>
      </w:r>
      <w:r w:rsidRPr="002D620A">
        <w:rPr>
          <w:rFonts w:ascii="Garamond" w:hAnsi="Garamond" w:cs="Arial"/>
          <w:i/>
          <w:iCs/>
          <w:sz w:val="26"/>
          <w:szCs w:val="26"/>
        </w:rPr>
        <w:t>Atti e procedimenti relativi al patrimonio immobiliare dell'Ente</w:t>
      </w:r>
      <w:r w:rsidRPr="008E2B66">
        <w:rPr>
          <w:rFonts w:ascii="Garamond" w:hAnsi="Garamond" w:cs="Arial"/>
          <w:sz w:val="26"/>
          <w:szCs w:val="26"/>
        </w:rPr>
        <w:t xml:space="preserve">: </w:t>
      </w:r>
      <w:r w:rsidRPr="002D620A">
        <w:rPr>
          <w:rFonts w:ascii="Garamond" w:hAnsi="Garamond" w:cs="Arial"/>
          <w:i/>
          <w:iCs/>
          <w:sz w:val="26"/>
          <w:szCs w:val="26"/>
        </w:rPr>
        <w:t>Ufficio Patrimonio e valorizzazione immobiliare</w:t>
      </w:r>
      <w:r w:rsidR="002D620A">
        <w:rPr>
          <w:rFonts w:ascii="Garamond" w:hAnsi="Garamond" w:cs="Arial"/>
          <w:i/>
          <w:iCs/>
          <w:sz w:val="26"/>
          <w:szCs w:val="26"/>
        </w:rPr>
        <w:t xml:space="preserve"> </w:t>
      </w:r>
      <w:r w:rsidR="0035631B" w:rsidRPr="002D620A">
        <w:rPr>
          <w:rFonts w:ascii="Garamond" w:hAnsi="Garamond" w:cs="Arial"/>
          <w:i/>
          <w:iCs/>
          <w:sz w:val="26"/>
          <w:szCs w:val="26"/>
        </w:rPr>
        <w:t>USC4</w:t>
      </w:r>
      <w:r w:rsidRPr="008E2B66">
        <w:rPr>
          <w:rFonts w:ascii="Garamond" w:hAnsi="Garamond" w:cs="Arial"/>
          <w:sz w:val="26"/>
          <w:szCs w:val="26"/>
        </w:rPr>
        <w:t xml:space="preserve"> e Centri; </w:t>
      </w:r>
    </w:p>
    <w:p w14:paraId="031E1A3C" w14:textId="6162C7EA" w:rsidR="00384E57" w:rsidRPr="008E2B66" w:rsidRDefault="00384E57" w:rsidP="00B55234">
      <w:pPr>
        <w:autoSpaceDE w:val="0"/>
        <w:autoSpaceDN w:val="0"/>
        <w:adjustRightInd w:val="0"/>
        <w:spacing w:after="80" w:line="276" w:lineRule="auto"/>
        <w:contextualSpacing/>
        <w:jc w:val="both"/>
        <w:rPr>
          <w:rFonts w:ascii="Garamond" w:hAnsi="Garamond" w:cs="Arial"/>
          <w:sz w:val="26"/>
          <w:szCs w:val="26"/>
        </w:rPr>
      </w:pPr>
      <w:r w:rsidRPr="008E2B66">
        <w:rPr>
          <w:rFonts w:ascii="Garamond" w:hAnsi="Garamond" w:cs="Arial"/>
          <w:sz w:val="26"/>
          <w:szCs w:val="26"/>
        </w:rPr>
        <w:t xml:space="preserve">•sottosezione </w:t>
      </w:r>
      <w:r w:rsidRPr="002D620A">
        <w:rPr>
          <w:rFonts w:ascii="Garamond" w:hAnsi="Garamond" w:cs="Arial"/>
          <w:i/>
          <w:iCs/>
          <w:sz w:val="26"/>
          <w:szCs w:val="26"/>
        </w:rPr>
        <w:t>Atti relativi ai contratti attivi di valorizzazione della proprietà intellettuale dell'Ente: Ufficio Trasferimento tecnologico</w:t>
      </w:r>
      <w:r w:rsidR="002D620A">
        <w:rPr>
          <w:rFonts w:ascii="Garamond" w:hAnsi="Garamond" w:cs="Arial"/>
          <w:i/>
          <w:iCs/>
          <w:sz w:val="26"/>
          <w:szCs w:val="26"/>
        </w:rPr>
        <w:t xml:space="preserve"> </w:t>
      </w:r>
      <w:r w:rsidR="0035631B" w:rsidRPr="002D620A">
        <w:rPr>
          <w:rFonts w:ascii="Garamond" w:hAnsi="Garamond" w:cs="Arial"/>
          <w:i/>
          <w:iCs/>
          <w:sz w:val="26"/>
          <w:szCs w:val="26"/>
        </w:rPr>
        <w:t>UDG5</w:t>
      </w:r>
      <w:r w:rsidRPr="008E2B66">
        <w:rPr>
          <w:rFonts w:ascii="Garamond" w:hAnsi="Garamond" w:cs="Arial"/>
          <w:sz w:val="26"/>
          <w:szCs w:val="26"/>
        </w:rPr>
        <w:t xml:space="preserve">. </w:t>
      </w:r>
    </w:p>
    <w:p w14:paraId="34E12CF0" w14:textId="60EE7C1B" w:rsidR="00384E57" w:rsidRPr="008E2B66" w:rsidRDefault="00384E57" w:rsidP="00B55234">
      <w:pPr>
        <w:autoSpaceDE w:val="0"/>
        <w:autoSpaceDN w:val="0"/>
        <w:adjustRightInd w:val="0"/>
        <w:spacing w:after="80" w:line="276" w:lineRule="auto"/>
        <w:contextualSpacing/>
        <w:jc w:val="both"/>
        <w:rPr>
          <w:rFonts w:ascii="Garamond" w:hAnsi="Garamond" w:cs="Arial"/>
          <w:sz w:val="26"/>
          <w:szCs w:val="26"/>
        </w:rPr>
      </w:pPr>
      <w:r w:rsidRPr="008E2B66">
        <w:rPr>
          <w:rFonts w:ascii="Garamond" w:hAnsi="Garamond" w:cs="Arial"/>
          <w:sz w:val="26"/>
          <w:szCs w:val="26"/>
        </w:rPr>
        <w:t>Tanto premesso, nell</w:t>
      </w:r>
      <w:r w:rsidR="00B50B1B">
        <w:rPr>
          <w:rFonts w:ascii="Garamond" w:hAnsi="Garamond" w:cs="Arial"/>
          <w:sz w:val="26"/>
          <w:szCs w:val="26"/>
        </w:rPr>
        <w:t>a</w:t>
      </w:r>
      <w:r w:rsidRPr="008E2B66">
        <w:rPr>
          <w:rFonts w:ascii="Garamond" w:hAnsi="Garamond" w:cs="Arial"/>
          <w:sz w:val="26"/>
          <w:szCs w:val="26"/>
        </w:rPr>
        <w:t xml:space="preserve"> tabell</w:t>
      </w:r>
      <w:r w:rsidR="00B50B1B">
        <w:rPr>
          <w:rFonts w:ascii="Garamond" w:hAnsi="Garamond" w:cs="Arial"/>
          <w:sz w:val="26"/>
          <w:szCs w:val="26"/>
        </w:rPr>
        <w:t xml:space="preserve">a </w:t>
      </w:r>
      <w:r w:rsidRPr="008E2B66">
        <w:rPr>
          <w:rFonts w:ascii="Garamond" w:hAnsi="Garamond" w:cs="Arial"/>
          <w:sz w:val="26"/>
          <w:szCs w:val="26"/>
        </w:rPr>
        <w:t xml:space="preserve">degli </w:t>
      </w:r>
      <w:r w:rsidR="0035631B" w:rsidRPr="008E2B66">
        <w:rPr>
          <w:rFonts w:ascii="Garamond" w:hAnsi="Garamond" w:cs="Arial"/>
          <w:sz w:val="26"/>
          <w:szCs w:val="26"/>
        </w:rPr>
        <w:t>o</w:t>
      </w:r>
      <w:r w:rsidRPr="008E2B66">
        <w:rPr>
          <w:rFonts w:ascii="Garamond" w:hAnsi="Garamond" w:cs="Arial"/>
          <w:sz w:val="26"/>
          <w:szCs w:val="26"/>
        </w:rPr>
        <w:t>bblighi di pubblicazione</w:t>
      </w:r>
      <w:r w:rsidRPr="00B50B1B">
        <w:rPr>
          <w:rFonts w:ascii="Garamond" w:hAnsi="Garamond" w:cs="Arial"/>
          <w:sz w:val="26"/>
          <w:szCs w:val="26"/>
        </w:rPr>
        <w:t>,</w:t>
      </w:r>
      <w:r w:rsidRPr="008E2B66">
        <w:rPr>
          <w:rFonts w:ascii="Garamond" w:hAnsi="Garamond" w:cs="Arial"/>
          <w:sz w:val="26"/>
          <w:szCs w:val="26"/>
        </w:rPr>
        <w:t xml:space="preserve"> in conformità a quanto effettuato nei precedenti </w:t>
      </w:r>
      <w:r w:rsidRPr="00715570">
        <w:rPr>
          <w:rFonts w:ascii="Garamond" w:hAnsi="Garamond" w:cs="Arial"/>
          <w:sz w:val="26"/>
          <w:szCs w:val="26"/>
        </w:rPr>
        <w:t>Piani</w:t>
      </w:r>
      <w:r w:rsidRPr="008E2B66">
        <w:rPr>
          <w:rFonts w:ascii="Garamond" w:hAnsi="Garamond" w:cs="Arial"/>
          <w:sz w:val="26"/>
          <w:szCs w:val="26"/>
        </w:rPr>
        <w:t xml:space="preserve">, come di consueto: </w:t>
      </w:r>
    </w:p>
    <w:p w14:paraId="3D85D56C" w14:textId="7D95B3C9" w:rsidR="00384E57" w:rsidRPr="008E2B66" w:rsidRDefault="00384E57" w:rsidP="00B8265F">
      <w:pPr>
        <w:numPr>
          <w:ilvl w:val="0"/>
          <w:numId w:val="6"/>
        </w:numPr>
        <w:autoSpaceDE w:val="0"/>
        <w:autoSpaceDN w:val="0"/>
        <w:adjustRightInd w:val="0"/>
        <w:spacing w:after="80" w:line="276" w:lineRule="auto"/>
        <w:ind w:left="644"/>
        <w:contextualSpacing/>
        <w:jc w:val="both"/>
        <w:rPr>
          <w:rFonts w:ascii="Garamond" w:hAnsi="Garamond" w:cs="Arial"/>
          <w:sz w:val="26"/>
          <w:szCs w:val="26"/>
        </w:rPr>
      </w:pPr>
      <w:r w:rsidRPr="008E2B66">
        <w:rPr>
          <w:rFonts w:ascii="Garamond" w:hAnsi="Garamond" w:cs="Arial"/>
          <w:sz w:val="26"/>
          <w:szCs w:val="26"/>
        </w:rPr>
        <w:t xml:space="preserve">sono stati individuati gli obblighi di trasparenza sull’organizzazione e sull’attività del CREA previsti dal </w:t>
      </w:r>
      <w:r w:rsidR="00566AE6" w:rsidRPr="008E2B66">
        <w:rPr>
          <w:rFonts w:ascii="Garamond" w:hAnsi="Garamond" w:cs="Arial"/>
          <w:sz w:val="26"/>
          <w:szCs w:val="26"/>
        </w:rPr>
        <w:t>D</w:t>
      </w:r>
      <w:r w:rsidR="002D620A">
        <w:rPr>
          <w:rFonts w:ascii="Garamond" w:hAnsi="Garamond" w:cs="Arial"/>
          <w:sz w:val="26"/>
          <w:szCs w:val="26"/>
        </w:rPr>
        <w:t>l</w:t>
      </w:r>
      <w:r w:rsidRPr="008E2B66">
        <w:rPr>
          <w:rFonts w:ascii="Garamond" w:hAnsi="Garamond" w:cs="Arial"/>
          <w:sz w:val="26"/>
          <w:szCs w:val="26"/>
        </w:rPr>
        <w:t xml:space="preserve">gs. n. 33/2013 e ss.mm.ii; </w:t>
      </w:r>
    </w:p>
    <w:p w14:paraId="52595FBC" w14:textId="15715ED6" w:rsidR="00384E57" w:rsidRPr="008E2B66" w:rsidRDefault="00384E57" w:rsidP="00B8265F">
      <w:pPr>
        <w:numPr>
          <w:ilvl w:val="0"/>
          <w:numId w:val="6"/>
        </w:numPr>
        <w:autoSpaceDE w:val="0"/>
        <w:autoSpaceDN w:val="0"/>
        <w:adjustRightInd w:val="0"/>
        <w:spacing w:after="80" w:line="276" w:lineRule="auto"/>
        <w:ind w:left="644"/>
        <w:contextualSpacing/>
        <w:jc w:val="both"/>
        <w:rPr>
          <w:rFonts w:ascii="Garamond" w:hAnsi="Garamond" w:cs="Arial"/>
          <w:sz w:val="26"/>
          <w:szCs w:val="26"/>
        </w:rPr>
      </w:pPr>
      <w:r w:rsidRPr="008E2B66">
        <w:rPr>
          <w:rFonts w:ascii="Garamond" w:hAnsi="Garamond" w:cs="Arial"/>
          <w:sz w:val="26"/>
          <w:szCs w:val="26"/>
        </w:rPr>
        <w:t xml:space="preserve">sono stati </w:t>
      </w:r>
      <w:r w:rsidR="00184325" w:rsidRPr="008E2B66">
        <w:rPr>
          <w:rFonts w:ascii="Garamond" w:hAnsi="Garamond" w:cs="Arial"/>
          <w:sz w:val="26"/>
          <w:szCs w:val="26"/>
        </w:rPr>
        <w:t>identificati i</w:t>
      </w:r>
      <w:r w:rsidRPr="008E2B66">
        <w:rPr>
          <w:rFonts w:ascii="Garamond" w:hAnsi="Garamond" w:cs="Arial"/>
          <w:sz w:val="26"/>
          <w:szCs w:val="26"/>
        </w:rPr>
        <w:t xml:space="preserve"> soggetti responsabili (</w:t>
      </w:r>
      <w:r w:rsidR="00B9633E" w:rsidRPr="008E2B66">
        <w:rPr>
          <w:rFonts w:ascii="Garamond" w:hAnsi="Garamond" w:cs="Arial"/>
          <w:sz w:val="26"/>
          <w:szCs w:val="26"/>
        </w:rPr>
        <w:t>U</w:t>
      </w:r>
      <w:r w:rsidRPr="008E2B66">
        <w:rPr>
          <w:rFonts w:ascii="Garamond" w:hAnsi="Garamond" w:cs="Arial"/>
          <w:sz w:val="26"/>
          <w:szCs w:val="26"/>
        </w:rPr>
        <w:t xml:space="preserve">ffici, </w:t>
      </w:r>
      <w:r w:rsidR="00B9633E" w:rsidRPr="008E2B66">
        <w:rPr>
          <w:rFonts w:ascii="Garamond" w:hAnsi="Garamond" w:cs="Arial"/>
          <w:sz w:val="26"/>
          <w:szCs w:val="26"/>
        </w:rPr>
        <w:t>D</w:t>
      </w:r>
      <w:r w:rsidRPr="008E2B66">
        <w:rPr>
          <w:rFonts w:ascii="Garamond" w:hAnsi="Garamond" w:cs="Arial"/>
          <w:sz w:val="26"/>
          <w:szCs w:val="26"/>
        </w:rPr>
        <w:t>irigenti/</w:t>
      </w:r>
      <w:r w:rsidR="00B9633E" w:rsidRPr="008E2B66">
        <w:rPr>
          <w:rFonts w:ascii="Garamond" w:hAnsi="Garamond" w:cs="Arial"/>
          <w:sz w:val="26"/>
          <w:szCs w:val="26"/>
        </w:rPr>
        <w:t>D</w:t>
      </w:r>
      <w:r w:rsidRPr="008E2B66">
        <w:rPr>
          <w:rFonts w:ascii="Garamond" w:hAnsi="Garamond" w:cs="Arial"/>
          <w:sz w:val="26"/>
          <w:szCs w:val="26"/>
        </w:rPr>
        <w:t>irettori, RUP) dell’elaborazione, della trasmissione e della pubblicazione dei dati.</w:t>
      </w:r>
    </w:p>
    <w:p w14:paraId="5F25ECB8" w14:textId="77777777" w:rsidR="00CA6FC1" w:rsidRPr="008E2B66" w:rsidRDefault="00CA6FC1" w:rsidP="00B55234">
      <w:pPr>
        <w:spacing w:after="80" w:line="276" w:lineRule="auto"/>
        <w:jc w:val="both"/>
        <w:rPr>
          <w:rFonts w:ascii="Garamond" w:hAnsi="Garamond" w:cs="Arial"/>
          <w:sz w:val="26"/>
          <w:szCs w:val="26"/>
        </w:rPr>
      </w:pPr>
    </w:p>
    <w:p w14:paraId="41A12A95" w14:textId="341C4017" w:rsidR="00CA6FC1" w:rsidRPr="008E2B66" w:rsidRDefault="00CA6FC1" w:rsidP="00B55234">
      <w:pPr>
        <w:spacing w:after="80" w:line="276" w:lineRule="auto"/>
        <w:jc w:val="both"/>
        <w:rPr>
          <w:rFonts w:ascii="Garamond" w:hAnsi="Garamond" w:cs="Arial"/>
          <w:sz w:val="26"/>
          <w:szCs w:val="26"/>
        </w:rPr>
      </w:pPr>
      <w:r w:rsidRPr="00715570">
        <w:rPr>
          <w:rFonts w:ascii="Garamond" w:hAnsi="Garamond" w:cs="Arial"/>
          <w:b/>
          <w:bCs/>
          <w:sz w:val="26"/>
          <w:szCs w:val="26"/>
        </w:rPr>
        <w:t>2.3.3.2 Il sistema della trasparenza nelle procedure degli acquisti</w:t>
      </w:r>
    </w:p>
    <w:p w14:paraId="29E4CA48" w14:textId="731F1D3A" w:rsidR="00763A92" w:rsidRPr="008E2B66" w:rsidRDefault="00384E57" w:rsidP="00B55234">
      <w:pPr>
        <w:spacing w:after="80" w:line="276" w:lineRule="auto"/>
        <w:jc w:val="both"/>
        <w:rPr>
          <w:rFonts w:ascii="Garamond" w:hAnsi="Garamond" w:cs="Arial"/>
          <w:sz w:val="26"/>
          <w:szCs w:val="26"/>
        </w:rPr>
      </w:pPr>
      <w:r w:rsidRPr="008E2B66">
        <w:rPr>
          <w:rFonts w:ascii="Garamond" w:hAnsi="Garamond" w:cs="Arial"/>
          <w:sz w:val="26"/>
          <w:szCs w:val="26"/>
        </w:rPr>
        <w:t xml:space="preserve">Sulla trasparenza </w:t>
      </w:r>
      <w:r w:rsidRPr="002D620A">
        <w:rPr>
          <w:rFonts w:ascii="Garamond" w:hAnsi="Garamond" w:cs="Arial"/>
          <w:i/>
          <w:iCs/>
          <w:sz w:val="26"/>
          <w:szCs w:val="26"/>
        </w:rPr>
        <w:t>dei contratti pubblici</w:t>
      </w:r>
      <w:r w:rsidRPr="008E2B66">
        <w:rPr>
          <w:rFonts w:ascii="Garamond" w:hAnsi="Garamond" w:cs="Arial"/>
          <w:sz w:val="26"/>
          <w:szCs w:val="26"/>
        </w:rPr>
        <w:t xml:space="preserve"> il </w:t>
      </w:r>
      <w:r w:rsidR="00566AE6" w:rsidRPr="008E2B66">
        <w:rPr>
          <w:rFonts w:ascii="Garamond" w:hAnsi="Garamond" w:cs="Arial"/>
          <w:sz w:val="26"/>
          <w:szCs w:val="26"/>
        </w:rPr>
        <w:t>D</w:t>
      </w:r>
      <w:r w:rsidRPr="008E2B66">
        <w:rPr>
          <w:rFonts w:ascii="Garamond" w:hAnsi="Garamond" w:cs="Arial"/>
          <w:sz w:val="26"/>
          <w:szCs w:val="26"/>
        </w:rPr>
        <w:t>.lgs. n. 36/2023 (</w:t>
      </w:r>
      <w:r w:rsidRPr="002D620A">
        <w:rPr>
          <w:rFonts w:ascii="Garamond" w:hAnsi="Garamond" w:cs="Arial"/>
          <w:i/>
          <w:iCs/>
          <w:sz w:val="26"/>
          <w:szCs w:val="26"/>
        </w:rPr>
        <w:t>Codice dei contratti pubblici</w:t>
      </w:r>
      <w:r w:rsidRPr="008E2B66">
        <w:rPr>
          <w:rFonts w:ascii="Garamond" w:hAnsi="Garamond" w:cs="Arial"/>
          <w:sz w:val="26"/>
          <w:szCs w:val="26"/>
        </w:rPr>
        <w:t>)</w:t>
      </w:r>
      <w:r w:rsidR="00763A92" w:rsidRPr="008E2B66">
        <w:rPr>
          <w:rFonts w:ascii="Garamond" w:hAnsi="Garamond" w:cs="Arial"/>
          <w:sz w:val="26"/>
          <w:szCs w:val="26"/>
        </w:rPr>
        <w:t xml:space="preserve"> ha delineato </w:t>
      </w:r>
      <w:r w:rsidR="00D366E1" w:rsidRPr="008E2B66">
        <w:rPr>
          <w:rFonts w:ascii="Garamond" w:hAnsi="Garamond" w:cs="Arial"/>
          <w:sz w:val="26"/>
          <w:szCs w:val="26"/>
        </w:rPr>
        <w:t>un nuovo quadro di riferimento, intervenendo</w:t>
      </w:r>
      <w:r w:rsidR="002D620A">
        <w:rPr>
          <w:rFonts w:ascii="Garamond" w:hAnsi="Garamond" w:cs="Arial"/>
          <w:sz w:val="26"/>
          <w:szCs w:val="26"/>
        </w:rPr>
        <w:t>,</w:t>
      </w:r>
      <w:r w:rsidR="00D366E1" w:rsidRPr="008E2B66">
        <w:rPr>
          <w:rFonts w:ascii="Garamond" w:hAnsi="Garamond" w:cs="Arial"/>
          <w:sz w:val="26"/>
          <w:szCs w:val="26"/>
        </w:rPr>
        <w:t xml:space="preserve"> sia </w:t>
      </w:r>
      <w:r w:rsidR="000F3D99" w:rsidRPr="008E2B66">
        <w:rPr>
          <w:rFonts w:ascii="Garamond" w:hAnsi="Garamond" w:cs="Arial"/>
          <w:sz w:val="26"/>
          <w:szCs w:val="26"/>
        </w:rPr>
        <w:t>sulla digitalizzazione del ciclo di vita dei contratti che sui relativi obblighi di trasparenza.</w:t>
      </w:r>
    </w:p>
    <w:p w14:paraId="5750E9FD" w14:textId="4D3D24FC" w:rsidR="00384E57" w:rsidRPr="008E2B66" w:rsidRDefault="002460F3" w:rsidP="00B55234">
      <w:pPr>
        <w:spacing w:after="80" w:line="276" w:lineRule="auto"/>
        <w:jc w:val="both"/>
        <w:rPr>
          <w:rFonts w:ascii="Garamond" w:hAnsi="Garamond" w:cs="Arial"/>
          <w:sz w:val="26"/>
          <w:szCs w:val="26"/>
        </w:rPr>
      </w:pPr>
      <w:r w:rsidRPr="008E2B66">
        <w:rPr>
          <w:rFonts w:ascii="Garamond" w:hAnsi="Garamond" w:cs="Arial"/>
          <w:sz w:val="26"/>
          <w:szCs w:val="26"/>
        </w:rPr>
        <w:lastRenderedPageBreak/>
        <w:t xml:space="preserve">Nello specifico </w:t>
      </w:r>
      <w:r w:rsidR="00384E57" w:rsidRPr="008E2B66">
        <w:rPr>
          <w:rFonts w:ascii="Garamond" w:hAnsi="Garamond" w:cs="Arial"/>
          <w:sz w:val="26"/>
          <w:szCs w:val="26"/>
        </w:rPr>
        <w:t xml:space="preserve">l’art. 28, prevede che le informazioni e i dati relativi alla programmazione di lavori, servizi e forniture, nonché </w:t>
      </w:r>
      <w:r w:rsidR="002D620A" w:rsidRPr="00715570">
        <w:rPr>
          <w:rFonts w:ascii="Garamond" w:hAnsi="Garamond" w:cs="Arial"/>
          <w:sz w:val="26"/>
          <w:szCs w:val="26"/>
        </w:rPr>
        <w:t>all’intero</w:t>
      </w:r>
      <w:r w:rsidR="002D620A">
        <w:rPr>
          <w:rFonts w:ascii="Garamond" w:hAnsi="Garamond" w:cs="Arial"/>
          <w:sz w:val="26"/>
          <w:szCs w:val="26"/>
        </w:rPr>
        <w:t xml:space="preserve"> </w:t>
      </w:r>
      <w:r w:rsidR="00384E57" w:rsidRPr="008E2B66">
        <w:rPr>
          <w:rFonts w:ascii="Garamond" w:hAnsi="Garamond" w:cs="Arial"/>
          <w:sz w:val="26"/>
          <w:szCs w:val="26"/>
        </w:rPr>
        <w:t xml:space="preserve">ciclo di vita dei contratti pubblici, ove non considerati riservati ovvero secretati, siano tempestivamente trasmessi alla </w:t>
      </w:r>
      <w:r w:rsidR="00384E57" w:rsidRPr="002D620A">
        <w:rPr>
          <w:rFonts w:ascii="Garamond" w:hAnsi="Garamond" w:cs="Arial"/>
          <w:i/>
          <w:iCs/>
          <w:sz w:val="26"/>
          <w:szCs w:val="26"/>
        </w:rPr>
        <w:t>Banca dati nazionale dei contratti pubblici (BDNCP)</w:t>
      </w:r>
      <w:r w:rsidR="00384E57" w:rsidRPr="008E2B66">
        <w:rPr>
          <w:rFonts w:ascii="Garamond" w:hAnsi="Garamond" w:cs="Arial"/>
          <w:sz w:val="26"/>
          <w:szCs w:val="26"/>
        </w:rPr>
        <w:t xml:space="preserve"> istituita presso l’ANAC da parte delle stazioni appaltanti e dagli enti concedenti</w:t>
      </w:r>
      <w:r w:rsidR="002D620A">
        <w:rPr>
          <w:rFonts w:ascii="Garamond" w:hAnsi="Garamond" w:cs="Arial"/>
          <w:sz w:val="26"/>
          <w:szCs w:val="26"/>
        </w:rPr>
        <w:t>,</w:t>
      </w:r>
      <w:r w:rsidR="00384E57" w:rsidRPr="008E2B66">
        <w:rPr>
          <w:rFonts w:ascii="Garamond" w:hAnsi="Garamond" w:cs="Arial"/>
          <w:sz w:val="26"/>
          <w:szCs w:val="26"/>
        </w:rPr>
        <w:t xml:space="preserve"> attraverso le piattaforme di approvvigionamento digitale utilizzate per svolgere le procedure di affidamento e di esecuzione dei contratti pubblici. </w:t>
      </w:r>
      <w:r w:rsidR="002D620A">
        <w:rPr>
          <w:rFonts w:ascii="Garamond" w:hAnsi="Garamond" w:cs="Arial"/>
          <w:sz w:val="26"/>
          <w:szCs w:val="26"/>
        </w:rPr>
        <w:t xml:space="preserve">Tale </w:t>
      </w:r>
      <w:r w:rsidR="00384E57" w:rsidRPr="008E2B66">
        <w:rPr>
          <w:rFonts w:ascii="Garamond" w:hAnsi="Garamond" w:cs="Arial"/>
          <w:sz w:val="26"/>
          <w:szCs w:val="26"/>
        </w:rPr>
        <w:t xml:space="preserve">disposizione prevede, inoltre, che spetta alle stazioni appaltanti e agli enti concedenti, al fine di garantire la trasparenza dei dati comunicati alla BDNCP, il compito di assicurare il collegamento tra la sezione </w:t>
      </w:r>
      <w:r w:rsidR="00384E57" w:rsidRPr="002D620A">
        <w:rPr>
          <w:rFonts w:ascii="Garamond" w:hAnsi="Garamond" w:cs="Arial"/>
          <w:i/>
          <w:iCs/>
          <w:sz w:val="26"/>
          <w:szCs w:val="26"/>
        </w:rPr>
        <w:t>Amministrazione trasparente</w:t>
      </w:r>
      <w:r w:rsidR="00384E57" w:rsidRPr="008E2B66">
        <w:rPr>
          <w:rFonts w:ascii="Garamond" w:hAnsi="Garamond" w:cs="Arial"/>
          <w:sz w:val="26"/>
          <w:szCs w:val="26"/>
        </w:rPr>
        <w:t xml:space="preserve"> del sito istituzionale e la stessa BDNCP, secondo le disposizioni di cui al </w:t>
      </w:r>
      <w:r w:rsidR="00566AE6" w:rsidRPr="008E2B66">
        <w:rPr>
          <w:rFonts w:ascii="Garamond" w:hAnsi="Garamond" w:cs="Arial"/>
          <w:sz w:val="26"/>
          <w:szCs w:val="26"/>
        </w:rPr>
        <w:t>D</w:t>
      </w:r>
      <w:r w:rsidR="00384E57" w:rsidRPr="008E2B66">
        <w:rPr>
          <w:rFonts w:ascii="Garamond" w:hAnsi="Garamond" w:cs="Arial"/>
          <w:sz w:val="26"/>
          <w:szCs w:val="26"/>
        </w:rPr>
        <w:t>lgs. 33/2013.</w:t>
      </w:r>
    </w:p>
    <w:p w14:paraId="562D7449" w14:textId="56646B71" w:rsidR="00384E57" w:rsidRPr="008E2B66" w:rsidRDefault="00384E57" w:rsidP="00B55234">
      <w:pPr>
        <w:spacing w:after="80" w:line="276" w:lineRule="auto"/>
        <w:jc w:val="both"/>
        <w:rPr>
          <w:rFonts w:ascii="Garamond" w:hAnsi="Garamond" w:cs="Arial"/>
          <w:sz w:val="26"/>
          <w:szCs w:val="26"/>
        </w:rPr>
      </w:pPr>
      <w:r w:rsidRPr="008E2B66">
        <w:rPr>
          <w:rFonts w:ascii="Garamond" w:hAnsi="Garamond" w:cs="Arial"/>
          <w:sz w:val="26"/>
          <w:szCs w:val="26"/>
        </w:rPr>
        <w:t>Il nuovo Codice</w:t>
      </w:r>
      <w:r w:rsidR="002D620A">
        <w:rPr>
          <w:rFonts w:ascii="Garamond" w:hAnsi="Garamond" w:cs="Arial"/>
          <w:sz w:val="26"/>
          <w:szCs w:val="26"/>
        </w:rPr>
        <w:t xml:space="preserve">, </w:t>
      </w:r>
      <w:r w:rsidR="002D620A" w:rsidRPr="00715570">
        <w:rPr>
          <w:rFonts w:ascii="Garamond" w:hAnsi="Garamond" w:cs="Arial"/>
          <w:sz w:val="26"/>
          <w:szCs w:val="26"/>
        </w:rPr>
        <w:t>con la disposizione di cui all’</w:t>
      </w:r>
      <w:r w:rsidRPr="00715570">
        <w:rPr>
          <w:rFonts w:ascii="Garamond" w:hAnsi="Garamond" w:cs="Arial"/>
          <w:i/>
          <w:iCs/>
          <w:sz w:val="26"/>
          <w:szCs w:val="26"/>
        </w:rPr>
        <w:t xml:space="preserve"> </w:t>
      </w:r>
      <w:r w:rsidRPr="00715570">
        <w:rPr>
          <w:rFonts w:ascii="Garamond" w:hAnsi="Garamond" w:cs="Arial"/>
          <w:sz w:val="26"/>
          <w:szCs w:val="26"/>
        </w:rPr>
        <w:t>art. 224,</w:t>
      </w:r>
      <w:r w:rsidRPr="008E2B66">
        <w:rPr>
          <w:rFonts w:ascii="Garamond" w:hAnsi="Garamond" w:cs="Arial"/>
          <w:sz w:val="26"/>
          <w:szCs w:val="26"/>
        </w:rPr>
        <w:t xml:space="preserve"> co. 4, ha, inoltre, sostituito l’art. 37 del </w:t>
      </w:r>
      <w:r w:rsidR="00566AE6" w:rsidRPr="008E2B66">
        <w:rPr>
          <w:rFonts w:ascii="Garamond" w:hAnsi="Garamond" w:cs="Arial"/>
          <w:sz w:val="26"/>
          <w:szCs w:val="26"/>
        </w:rPr>
        <w:t>D</w:t>
      </w:r>
      <w:r w:rsidRPr="008E2B66">
        <w:rPr>
          <w:rFonts w:ascii="Garamond" w:hAnsi="Garamond" w:cs="Arial"/>
          <w:sz w:val="26"/>
          <w:szCs w:val="26"/>
        </w:rPr>
        <w:t xml:space="preserve">.gs. 33/2013 rubricato </w:t>
      </w:r>
      <w:r w:rsidRPr="002D620A">
        <w:rPr>
          <w:rFonts w:ascii="Garamond" w:hAnsi="Garamond" w:cs="Arial"/>
          <w:i/>
          <w:iCs/>
          <w:sz w:val="26"/>
          <w:szCs w:val="26"/>
        </w:rPr>
        <w:t xml:space="preserve">Obblighi di pubblicazione concernenti i contratti pubblici di lavori, servizi e forniture </w:t>
      </w:r>
      <w:r w:rsidRPr="008E2B66">
        <w:rPr>
          <w:rFonts w:ascii="Garamond" w:hAnsi="Garamond" w:cs="Arial"/>
          <w:sz w:val="26"/>
          <w:szCs w:val="26"/>
        </w:rPr>
        <w:t xml:space="preserve">con il seguente: </w:t>
      </w:r>
    </w:p>
    <w:p w14:paraId="28D30B82" w14:textId="77777777" w:rsidR="00384E57" w:rsidRPr="008E2B66" w:rsidRDefault="00384E57" w:rsidP="00B55234">
      <w:pPr>
        <w:spacing w:after="80" w:line="276" w:lineRule="auto"/>
        <w:jc w:val="both"/>
        <w:rPr>
          <w:rFonts w:ascii="Garamond" w:hAnsi="Garamond" w:cs="Arial"/>
          <w:sz w:val="26"/>
          <w:szCs w:val="26"/>
        </w:rPr>
      </w:pPr>
      <w:r w:rsidRPr="008E2B66">
        <w:rPr>
          <w:rFonts w:ascii="Garamond" w:hAnsi="Garamond" w:cs="Arial"/>
          <w:i/>
          <w:iCs/>
          <w:sz w:val="26"/>
          <w:szCs w:val="26"/>
        </w:rPr>
        <w:t>“</w:t>
      </w:r>
      <w:r w:rsidRPr="008E2B66">
        <w:rPr>
          <w:rFonts w:ascii="Garamond" w:hAnsi="Garamond" w:cs="Arial"/>
          <w:sz w:val="26"/>
          <w:szCs w:val="26"/>
        </w:rPr>
        <w:t xml:space="preserve">1. </w:t>
      </w:r>
      <w:r w:rsidRPr="008E2B66">
        <w:rPr>
          <w:rFonts w:ascii="Garamond" w:hAnsi="Garamond" w:cs="Arial"/>
          <w:i/>
          <w:iCs/>
          <w:sz w:val="26"/>
          <w:szCs w:val="26"/>
        </w:rPr>
        <w:t>Fermo restando quanto previsto dall’articolo 9-bis e fermi restando gli obblighi di pubblicità   legale, le pubbliche amministrazioni e le stazioni appaltanti pubblicano i dati, gli atti e le informazioni secondo quanto previsto dall’articolo 28 del codice dei contratti pubblici di cui al decreto legislativo di attuazione della legge 21 giugno 2022, n. 78.</w:t>
      </w:r>
      <w:r w:rsidRPr="008E2B66">
        <w:rPr>
          <w:rFonts w:ascii="Garamond" w:hAnsi="Garamond" w:cs="Arial"/>
          <w:sz w:val="26"/>
          <w:szCs w:val="26"/>
        </w:rPr>
        <w:t xml:space="preserve"> </w:t>
      </w:r>
    </w:p>
    <w:p w14:paraId="436D3EC9" w14:textId="77777777" w:rsidR="00384E57" w:rsidRPr="008E2B66" w:rsidRDefault="00384E57" w:rsidP="00B55234">
      <w:pPr>
        <w:spacing w:after="80" w:line="276" w:lineRule="auto"/>
        <w:jc w:val="both"/>
        <w:rPr>
          <w:rFonts w:ascii="Garamond" w:hAnsi="Garamond" w:cs="Arial"/>
          <w:sz w:val="26"/>
          <w:szCs w:val="26"/>
        </w:rPr>
      </w:pPr>
      <w:r w:rsidRPr="008E2B66">
        <w:rPr>
          <w:rFonts w:ascii="Garamond" w:hAnsi="Garamond" w:cs="Arial"/>
          <w:i/>
          <w:iCs/>
          <w:sz w:val="26"/>
          <w:szCs w:val="26"/>
        </w:rPr>
        <w:t>2. Ai sensi dell’articolo 9-bis, gli obblighi di pubblicazione di cui al comma 1 si intendono assolti attraverso l’invio dei medesimi dati alla Banca dati nazionale dei contratti pubblici presso l’ANAC e alla banca dati delle amministrazioni pubbliche ai sensi dell’articolo 2 del decreto legislativo 29 dicembre 2011, n. 229, limitatamente alla parte lavori.”</w:t>
      </w:r>
    </w:p>
    <w:p w14:paraId="510E8693" w14:textId="77777777" w:rsidR="00384E57" w:rsidRPr="008E2B66" w:rsidRDefault="00384E57" w:rsidP="00B55234">
      <w:pPr>
        <w:spacing w:after="80" w:line="276" w:lineRule="auto"/>
        <w:jc w:val="both"/>
        <w:rPr>
          <w:rFonts w:ascii="Garamond" w:hAnsi="Garamond" w:cs="Arial"/>
          <w:sz w:val="26"/>
          <w:szCs w:val="26"/>
        </w:rPr>
      </w:pPr>
      <w:r w:rsidRPr="008E2B66">
        <w:rPr>
          <w:rFonts w:ascii="Garamond" w:hAnsi="Garamond" w:cs="Arial"/>
          <w:sz w:val="26"/>
          <w:szCs w:val="26"/>
        </w:rPr>
        <w:t>A completamento del quadro normativo sopra descritto occorre richiamare anche i provvedimenti dell’ANAC che hanno precisato le modalità di attuazione degli obblighi di trasparenza a decorrere dal 1°gennaio 2024 ed in particolare:</w:t>
      </w:r>
    </w:p>
    <w:p w14:paraId="354DA246" w14:textId="77777777" w:rsidR="00384E57" w:rsidRPr="008E2B66" w:rsidRDefault="00384E57" w:rsidP="00B8265F">
      <w:pPr>
        <w:numPr>
          <w:ilvl w:val="0"/>
          <w:numId w:val="8"/>
        </w:numPr>
        <w:spacing w:after="80" w:line="276" w:lineRule="auto"/>
        <w:ind w:left="709"/>
        <w:contextualSpacing/>
        <w:jc w:val="both"/>
        <w:rPr>
          <w:rFonts w:ascii="Garamond" w:hAnsi="Garamond" w:cs="Arial"/>
          <w:sz w:val="26"/>
          <w:szCs w:val="26"/>
        </w:rPr>
      </w:pPr>
      <w:r w:rsidRPr="008E2B66">
        <w:rPr>
          <w:rFonts w:ascii="Garamond" w:hAnsi="Garamond" w:cs="Arial"/>
          <w:sz w:val="26"/>
          <w:szCs w:val="26"/>
        </w:rPr>
        <w:t>la deliberazione n. 261 del 20 giugno 2023</w:t>
      </w:r>
      <w:r w:rsidRPr="008E2B66">
        <w:rPr>
          <w:rFonts w:ascii="Garamond" w:hAnsi="Garamond" w:cs="Arial"/>
          <w:sz w:val="26"/>
          <w:szCs w:val="26"/>
          <w:vertAlign w:val="superscript"/>
        </w:rPr>
        <w:footnoteReference w:id="11"/>
      </w:r>
      <w:r w:rsidRPr="008E2B66">
        <w:rPr>
          <w:rFonts w:ascii="Garamond" w:hAnsi="Garamond" w:cs="Arial"/>
          <w:b/>
          <w:bCs/>
          <w:sz w:val="26"/>
          <w:szCs w:val="26"/>
        </w:rPr>
        <w:t>,</w:t>
      </w:r>
      <w:r w:rsidRPr="008E2B66">
        <w:rPr>
          <w:rFonts w:ascii="Garamond" w:hAnsi="Garamond" w:cs="Arial"/>
          <w:sz w:val="26"/>
          <w:szCs w:val="26"/>
        </w:rPr>
        <w:t xml:space="preserve"> che individua le informazioni che le stazioni appaltanti sono tenute a trasmettere alla BDNCP attraverso le piattaforme telematiche;</w:t>
      </w:r>
    </w:p>
    <w:p w14:paraId="7E572E58" w14:textId="77777777" w:rsidR="00384E57" w:rsidRPr="008E2B66" w:rsidRDefault="00384E57" w:rsidP="00B8265F">
      <w:pPr>
        <w:numPr>
          <w:ilvl w:val="0"/>
          <w:numId w:val="8"/>
        </w:numPr>
        <w:spacing w:after="80" w:line="276" w:lineRule="auto"/>
        <w:ind w:left="709"/>
        <w:contextualSpacing/>
        <w:jc w:val="both"/>
        <w:rPr>
          <w:rFonts w:ascii="Garamond" w:hAnsi="Garamond" w:cs="Arial"/>
          <w:sz w:val="26"/>
          <w:szCs w:val="26"/>
        </w:rPr>
      </w:pPr>
      <w:r w:rsidRPr="008E2B66">
        <w:rPr>
          <w:rFonts w:ascii="Garamond" w:hAnsi="Garamond" w:cs="Arial"/>
          <w:sz w:val="26"/>
          <w:szCs w:val="26"/>
        </w:rPr>
        <w:t xml:space="preserve">la deliberazione n. 264 del 20 giugno 2023 come modificata e integrata con delibera n. 601 del 19/12/2023 </w:t>
      </w:r>
      <w:r w:rsidRPr="008E2B66">
        <w:rPr>
          <w:rFonts w:ascii="Garamond" w:hAnsi="Garamond" w:cs="Arial"/>
          <w:sz w:val="26"/>
          <w:szCs w:val="26"/>
          <w:vertAlign w:val="superscript"/>
        </w:rPr>
        <w:footnoteReference w:id="12"/>
      </w:r>
      <w:r w:rsidRPr="008E2B66">
        <w:rPr>
          <w:rFonts w:ascii="Garamond" w:hAnsi="Garamond" w:cs="Arial"/>
          <w:sz w:val="26"/>
          <w:szCs w:val="26"/>
        </w:rPr>
        <w:t>, che individua gli atti, le informazioni e i dati relativi al ciclo di vita dei contratti pubblici oggetto di trasparenza ai fini e per gli effetti dell’articolo 37 del D.lgs. n. 33/2013 e dell’articolo 28 del Codice.</w:t>
      </w:r>
    </w:p>
    <w:p w14:paraId="7199DAC7" w14:textId="77777777" w:rsidR="00384E57" w:rsidRPr="008E2B66" w:rsidRDefault="00384E57" w:rsidP="00B55234">
      <w:pPr>
        <w:spacing w:after="80" w:line="276" w:lineRule="auto"/>
        <w:jc w:val="both"/>
        <w:rPr>
          <w:rFonts w:ascii="Garamond" w:hAnsi="Garamond" w:cs="Arial"/>
          <w:sz w:val="26"/>
          <w:szCs w:val="26"/>
        </w:rPr>
      </w:pPr>
      <w:r w:rsidRPr="008E2B66">
        <w:rPr>
          <w:rFonts w:ascii="Garamond" w:hAnsi="Garamond" w:cs="Arial"/>
          <w:sz w:val="26"/>
          <w:szCs w:val="26"/>
        </w:rPr>
        <w:t>L’ANAC, con le sopra citate delibere, ritiene che gli obblighi di pubblicazione in materia di contratti pubblici siano assolti dalle stazioni appaltanti e dagli enti concedenti:</w:t>
      </w:r>
    </w:p>
    <w:p w14:paraId="366B0B64" w14:textId="32CE5D35" w:rsidR="00384E57" w:rsidRPr="008E2B66" w:rsidRDefault="00384E57" w:rsidP="00B8265F">
      <w:pPr>
        <w:numPr>
          <w:ilvl w:val="1"/>
          <w:numId w:val="7"/>
        </w:numPr>
        <w:spacing w:after="80" w:line="276" w:lineRule="auto"/>
        <w:ind w:left="426" w:hanging="426"/>
        <w:contextualSpacing/>
        <w:jc w:val="both"/>
        <w:rPr>
          <w:rFonts w:ascii="Garamond" w:hAnsi="Garamond" w:cs="Arial"/>
          <w:sz w:val="26"/>
          <w:szCs w:val="26"/>
        </w:rPr>
      </w:pPr>
      <w:r w:rsidRPr="008E2B66">
        <w:rPr>
          <w:rFonts w:ascii="Garamond" w:hAnsi="Garamond" w:cs="Arial"/>
          <w:sz w:val="26"/>
          <w:szCs w:val="26"/>
        </w:rPr>
        <w:t xml:space="preserve">con la comunicazione tempestiva alla BDNCP, ai sensi dell’art. 9-bis del </w:t>
      </w:r>
      <w:r w:rsidR="00566AE6" w:rsidRPr="008E2B66">
        <w:rPr>
          <w:rFonts w:ascii="Garamond" w:hAnsi="Garamond" w:cs="Arial"/>
          <w:sz w:val="26"/>
          <w:szCs w:val="26"/>
        </w:rPr>
        <w:t>D</w:t>
      </w:r>
      <w:r w:rsidRPr="008E2B66">
        <w:rPr>
          <w:rFonts w:ascii="Garamond" w:hAnsi="Garamond" w:cs="Arial"/>
          <w:sz w:val="26"/>
          <w:szCs w:val="26"/>
        </w:rPr>
        <w:t>.lgs. n. 33/2013, di tutti i dati e le informazioni individuati nell’articolo 10 della menzionata deliberazione n. 261/2023</w:t>
      </w:r>
      <w:r w:rsidR="009D7637">
        <w:rPr>
          <w:rFonts w:ascii="Garamond" w:hAnsi="Garamond" w:cs="Arial"/>
          <w:sz w:val="26"/>
          <w:szCs w:val="26"/>
        </w:rPr>
        <w:t xml:space="preserve"> riguardanti </w:t>
      </w:r>
      <w:r w:rsidR="006F2AC1">
        <w:rPr>
          <w:rFonts w:ascii="Garamond" w:hAnsi="Garamond" w:cs="Arial"/>
          <w:sz w:val="26"/>
          <w:szCs w:val="26"/>
        </w:rPr>
        <w:t xml:space="preserve">tutte </w:t>
      </w:r>
      <w:r w:rsidR="009D7637">
        <w:rPr>
          <w:rFonts w:ascii="Garamond" w:hAnsi="Garamond" w:cs="Arial"/>
          <w:sz w:val="26"/>
          <w:szCs w:val="26"/>
        </w:rPr>
        <w:t>le fasi della procedura</w:t>
      </w:r>
      <w:r w:rsidR="006F2AC1">
        <w:rPr>
          <w:rFonts w:ascii="Garamond" w:hAnsi="Garamond" w:cs="Arial"/>
          <w:sz w:val="26"/>
          <w:szCs w:val="26"/>
        </w:rPr>
        <w:t xml:space="preserve"> (programmazione, progettazione</w:t>
      </w:r>
      <w:r w:rsidR="002C2127">
        <w:rPr>
          <w:rFonts w:ascii="Garamond" w:hAnsi="Garamond" w:cs="Arial"/>
          <w:sz w:val="26"/>
          <w:szCs w:val="26"/>
        </w:rPr>
        <w:t>, affidamento ed esecuzione)</w:t>
      </w:r>
      <w:r w:rsidR="009D7637">
        <w:rPr>
          <w:rFonts w:ascii="Garamond" w:hAnsi="Garamond" w:cs="Arial"/>
          <w:sz w:val="26"/>
          <w:szCs w:val="26"/>
        </w:rPr>
        <w:t xml:space="preserve"> </w:t>
      </w:r>
      <w:r w:rsidRPr="008E2B66">
        <w:rPr>
          <w:rFonts w:ascii="Garamond" w:hAnsi="Garamond" w:cs="Arial"/>
          <w:sz w:val="26"/>
          <w:szCs w:val="26"/>
        </w:rPr>
        <w:t>;</w:t>
      </w:r>
    </w:p>
    <w:p w14:paraId="43A0C1FC" w14:textId="0733207E" w:rsidR="00384E57" w:rsidRPr="008E2B66" w:rsidRDefault="00384E57" w:rsidP="00B8265F">
      <w:pPr>
        <w:numPr>
          <w:ilvl w:val="1"/>
          <w:numId w:val="7"/>
        </w:numPr>
        <w:spacing w:after="80" w:line="276" w:lineRule="auto"/>
        <w:ind w:left="426" w:hanging="426"/>
        <w:contextualSpacing/>
        <w:jc w:val="both"/>
        <w:rPr>
          <w:rFonts w:ascii="Garamond" w:hAnsi="Garamond" w:cs="Arial"/>
          <w:sz w:val="26"/>
          <w:szCs w:val="26"/>
        </w:rPr>
      </w:pPr>
      <w:r w:rsidRPr="008E2B66">
        <w:rPr>
          <w:rFonts w:ascii="Garamond" w:hAnsi="Garamond" w:cs="Arial"/>
          <w:sz w:val="26"/>
          <w:szCs w:val="26"/>
        </w:rPr>
        <w:lastRenderedPageBreak/>
        <w:t xml:space="preserve">con l’inserimento sul sito istituzionale dell’amministrazione, nella sezione </w:t>
      </w:r>
      <w:r w:rsidRPr="00A03111">
        <w:rPr>
          <w:rFonts w:ascii="Garamond" w:hAnsi="Garamond" w:cs="Arial"/>
          <w:i/>
          <w:iCs/>
          <w:sz w:val="26"/>
          <w:szCs w:val="26"/>
        </w:rPr>
        <w:t>Amministrazione trasparente</w:t>
      </w:r>
      <w:r w:rsidRPr="008E2B66">
        <w:rPr>
          <w:rFonts w:ascii="Garamond" w:hAnsi="Garamond" w:cs="Arial"/>
          <w:sz w:val="26"/>
          <w:szCs w:val="26"/>
        </w:rPr>
        <w:t>, di un collegamento ipertestuale che rinvia ai dati relativi all’intero ciclo di vita del contratto contenuti nella BDNCP (il collegamento garantisce un accesso immediato e diretto ai dati da consultare riferiti allo specifico contratto della stazione appaltante e dell’ente concedente ed assicura la trasparenza di tutti gli atti di ogni procedura contrattuale, dai primi atti all’esecuzione);</w:t>
      </w:r>
    </w:p>
    <w:p w14:paraId="093EC567" w14:textId="6A137BA7" w:rsidR="00384E57" w:rsidRPr="008E2B66" w:rsidRDefault="00384E57" w:rsidP="00B8265F">
      <w:pPr>
        <w:numPr>
          <w:ilvl w:val="1"/>
          <w:numId w:val="7"/>
        </w:numPr>
        <w:spacing w:after="80" w:line="276" w:lineRule="auto"/>
        <w:ind w:left="426" w:hanging="426"/>
        <w:contextualSpacing/>
        <w:jc w:val="both"/>
        <w:rPr>
          <w:rFonts w:ascii="Garamond" w:hAnsi="Garamond" w:cs="Arial"/>
          <w:sz w:val="26"/>
          <w:szCs w:val="26"/>
        </w:rPr>
      </w:pPr>
      <w:r w:rsidRPr="008E2B66">
        <w:rPr>
          <w:rFonts w:ascii="Garamond" w:hAnsi="Garamond" w:cs="Arial"/>
          <w:sz w:val="26"/>
          <w:szCs w:val="26"/>
        </w:rPr>
        <w:t xml:space="preserve">con la pubblicazione in </w:t>
      </w:r>
      <w:r w:rsidRPr="003B40E8">
        <w:rPr>
          <w:rFonts w:ascii="Garamond" w:hAnsi="Garamond" w:cs="Arial"/>
          <w:i/>
          <w:iCs/>
          <w:sz w:val="26"/>
          <w:szCs w:val="26"/>
        </w:rPr>
        <w:t>Amministrazione Trasparente</w:t>
      </w:r>
      <w:r w:rsidRPr="008E2B66">
        <w:rPr>
          <w:rFonts w:ascii="Garamond" w:hAnsi="Garamond" w:cs="Arial"/>
          <w:sz w:val="26"/>
          <w:szCs w:val="26"/>
        </w:rPr>
        <w:t xml:space="preserve"> dei soli atti, dati e informazioni che </w:t>
      </w:r>
      <w:r w:rsidR="00B371B5" w:rsidRPr="008E2B66">
        <w:rPr>
          <w:rFonts w:ascii="Garamond" w:hAnsi="Garamond" w:cs="Arial"/>
          <w:sz w:val="26"/>
          <w:szCs w:val="26"/>
        </w:rPr>
        <w:t xml:space="preserve">NON </w:t>
      </w:r>
      <w:r w:rsidRPr="008E2B66">
        <w:rPr>
          <w:rFonts w:ascii="Garamond" w:hAnsi="Garamond" w:cs="Arial"/>
          <w:sz w:val="26"/>
          <w:szCs w:val="26"/>
        </w:rPr>
        <w:t>devono essere comunicati alla BDNCP, come elencati nell’Allegato 1 della sopra menzionata deliberazione n. 264/2023 come modificata e integrata.</w:t>
      </w:r>
    </w:p>
    <w:p w14:paraId="4827C6A0" w14:textId="77777777" w:rsidR="00384E57" w:rsidRPr="008E2B66" w:rsidRDefault="00384E57" w:rsidP="00B55234">
      <w:pPr>
        <w:tabs>
          <w:tab w:val="left" w:pos="720"/>
          <w:tab w:val="left" w:pos="1440"/>
        </w:tabs>
        <w:spacing w:after="80" w:line="276" w:lineRule="auto"/>
        <w:ind w:left="1440"/>
        <w:contextualSpacing/>
        <w:jc w:val="both"/>
        <w:rPr>
          <w:rFonts w:ascii="Garamond" w:hAnsi="Garamond" w:cs="Arial"/>
          <w:color w:val="FF0000"/>
          <w:sz w:val="26"/>
          <w:szCs w:val="26"/>
        </w:rPr>
      </w:pPr>
    </w:p>
    <w:p w14:paraId="70BD02B1" w14:textId="3E6F85C0" w:rsidR="00384E57" w:rsidRPr="008E2B66" w:rsidRDefault="00384E57" w:rsidP="00174373">
      <w:pPr>
        <w:spacing w:after="80" w:line="276" w:lineRule="auto"/>
        <w:contextualSpacing/>
        <w:jc w:val="both"/>
        <w:rPr>
          <w:rFonts w:ascii="Garamond" w:hAnsi="Garamond" w:cs="Arial"/>
          <w:i/>
          <w:iCs/>
          <w:sz w:val="26"/>
          <w:szCs w:val="26"/>
        </w:rPr>
      </w:pPr>
      <w:r w:rsidRPr="008E2B66">
        <w:rPr>
          <w:rFonts w:ascii="Garamond" w:hAnsi="Garamond" w:cs="Arial"/>
          <w:sz w:val="26"/>
          <w:szCs w:val="26"/>
        </w:rPr>
        <w:t>Il CREA già ad inizio anno 2024, al fine di garantire l’adempimento tempestivo degli obblighi di pubblicazione e trasparenza ai sensi del nuovo D.lgs. n. 36/2023 e delle disposizioni contenute delle delibere ANAC, ha provveduto a creare, nella struttura del sito CREA</w:t>
      </w:r>
      <w:r w:rsidRPr="008E2B66">
        <w:rPr>
          <w:rFonts w:ascii="Garamond" w:hAnsi="Garamond" w:cs="Arial"/>
          <w:i/>
          <w:iCs/>
          <w:sz w:val="26"/>
          <w:szCs w:val="26"/>
        </w:rPr>
        <w:t xml:space="preserve"> </w:t>
      </w:r>
      <w:r w:rsidRPr="003B40E8">
        <w:rPr>
          <w:rFonts w:ascii="Garamond" w:hAnsi="Garamond" w:cs="Arial"/>
          <w:i/>
          <w:iCs/>
          <w:sz w:val="26"/>
          <w:szCs w:val="26"/>
        </w:rPr>
        <w:t>Amministrazione Trasparente/Bandi di gara</w:t>
      </w:r>
      <w:r w:rsidRPr="008E2B66">
        <w:rPr>
          <w:rFonts w:ascii="Garamond" w:hAnsi="Garamond" w:cs="Arial"/>
          <w:sz w:val="26"/>
          <w:szCs w:val="26"/>
        </w:rPr>
        <w:t xml:space="preserve"> e </w:t>
      </w:r>
      <w:r w:rsidRPr="003B40E8">
        <w:rPr>
          <w:rFonts w:ascii="Garamond" w:hAnsi="Garamond" w:cs="Arial"/>
          <w:i/>
          <w:iCs/>
          <w:sz w:val="26"/>
          <w:szCs w:val="26"/>
        </w:rPr>
        <w:t>contratti/Atti delle amministrazioni aggiudicatrici e degli aggiudicatori distintamente per ogni procedura/Atti, avvisi, provvedimenti e bandi per ciascuna procedura</w:t>
      </w:r>
      <w:r w:rsidRPr="008E2B66">
        <w:rPr>
          <w:rFonts w:ascii="Garamond" w:hAnsi="Garamond" w:cs="Arial"/>
          <w:i/>
          <w:iCs/>
          <w:sz w:val="26"/>
          <w:szCs w:val="26"/>
        </w:rPr>
        <w:t xml:space="preserve">, </w:t>
      </w:r>
      <w:r w:rsidRPr="008E2B66">
        <w:rPr>
          <w:rFonts w:ascii="Garamond" w:hAnsi="Garamond" w:cs="Arial"/>
          <w:sz w:val="26"/>
          <w:szCs w:val="26"/>
        </w:rPr>
        <w:t xml:space="preserve">di un apposito campo dedicato all’inserimento del </w:t>
      </w:r>
      <w:r w:rsidRPr="008E2B66">
        <w:rPr>
          <w:rFonts w:ascii="Garamond" w:hAnsi="Garamond" w:cs="Arial"/>
          <w:i/>
          <w:iCs/>
          <w:sz w:val="26"/>
          <w:szCs w:val="26"/>
        </w:rPr>
        <w:t xml:space="preserve">link </w:t>
      </w:r>
      <w:r w:rsidRPr="008E2B66">
        <w:rPr>
          <w:rFonts w:ascii="Garamond" w:hAnsi="Garamond" w:cs="Arial"/>
          <w:sz w:val="26"/>
          <w:szCs w:val="26"/>
        </w:rPr>
        <w:t>(collegamento BDNCP) che consenta di accedere alla corrispondete pagina della BDNCP per ciascuna procedura connotata dal pertinente CIG.</w:t>
      </w:r>
    </w:p>
    <w:p w14:paraId="1E1D3019" w14:textId="759A01E8" w:rsidR="00384E57" w:rsidRPr="008E2B66" w:rsidRDefault="00AB5365" w:rsidP="00174373">
      <w:pPr>
        <w:spacing w:after="80" w:line="276" w:lineRule="auto"/>
        <w:contextualSpacing/>
        <w:jc w:val="both"/>
        <w:rPr>
          <w:rFonts w:ascii="Garamond" w:hAnsi="Garamond" w:cs="Arial"/>
          <w:sz w:val="26"/>
          <w:szCs w:val="26"/>
        </w:rPr>
      </w:pPr>
      <w:r w:rsidRPr="008E2B66">
        <w:rPr>
          <w:rFonts w:ascii="Garamond" w:hAnsi="Garamond" w:cs="Arial"/>
          <w:sz w:val="26"/>
          <w:szCs w:val="26"/>
        </w:rPr>
        <w:t>S</w:t>
      </w:r>
      <w:r w:rsidR="00384E57" w:rsidRPr="008E2B66">
        <w:rPr>
          <w:rFonts w:ascii="Garamond" w:hAnsi="Garamond" w:cs="Arial"/>
          <w:sz w:val="26"/>
          <w:szCs w:val="26"/>
        </w:rPr>
        <w:t>i è provveduto</w:t>
      </w:r>
      <w:r w:rsidR="001C7AED" w:rsidRPr="008E2B66">
        <w:rPr>
          <w:rFonts w:ascii="Garamond" w:hAnsi="Garamond" w:cs="Arial"/>
          <w:sz w:val="26"/>
          <w:szCs w:val="26"/>
        </w:rPr>
        <w:t>, altresì,</w:t>
      </w:r>
      <w:r w:rsidR="00384E57" w:rsidRPr="008E2B66">
        <w:rPr>
          <w:rFonts w:ascii="Garamond" w:hAnsi="Garamond" w:cs="Arial"/>
          <w:sz w:val="26"/>
          <w:szCs w:val="26"/>
        </w:rPr>
        <w:t xml:space="preserve"> a completare l’adeguamento della suddetta sezione alle indicazioni contenute nella delibera ANAC n. 264/2023 come modificata con delibera n. 601/2023.</w:t>
      </w:r>
    </w:p>
    <w:p w14:paraId="51848A68" w14:textId="77777777" w:rsidR="00C655CF" w:rsidRPr="008E2B66" w:rsidRDefault="00C655CF" w:rsidP="00174373">
      <w:pPr>
        <w:spacing w:after="80" w:line="276" w:lineRule="auto"/>
        <w:contextualSpacing/>
        <w:jc w:val="both"/>
        <w:rPr>
          <w:rFonts w:ascii="Garamond" w:hAnsi="Garamond" w:cs="Arial"/>
          <w:sz w:val="26"/>
          <w:szCs w:val="26"/>
        </w:rPr>
      </w:pPr>
    </w:p>
    <w:p w14:paraId="60CAE2DB" w14:textId="62880168" w:rsidR="00384E57" w:rsidRPr="008E2B66" w:rsidRDefault="00821AC3" w:rsidP="00184325">
      <w:pPr>
        <w:spacing w:line="360" w:lineRule="auto"/>
        <w:jc w:val="both"/>
        <w:rPr>
          <w:rFonts w:ascii="Garamond" w:hAnsi="Garamond" w:cs="Arial"/>
          <w:b/>
          <w:bCs/>
          <w:sz w:val="26"/>
          <w:szCs w:val="26"/>
        </w:rPr>
      </w:pPr>
      <w:r w:rsidRPr="003B40E8">
        <w:rPr>
          <w:rFonts w:ascii="Garamond" w:hAnsi="Garamond" w:cs="Arial"/>
          <w:b/>
          <w:bCs/>
          <w:sz w:val="26"/>
          <w:szCs w:val="26"/>
        </w:rPr>
        <w:t>2.3.3.</w:t>
      </w:r>
      <w:r w:rsidR="00A50D55" w:rsidRPr="003B40E8">
        <w:rPr>
          <w:rFonts w:ascii="Garamond" w:hAnsi="Garamond" w:cs="Arial"/>
          <w:b/>
          <w:bCs/>
          <w:sz w:val="26"/>
          <w:szCs w:val="26"/>
        </w:rPr>
        <w:t>3</w:t>
      </w:r>
      <w:r w:rsidRPr="003B40E8">
        <w:rPr>
          <w:rFonts w:ascii="Garamond" w:hAnsi="Garamond" w:cs="Arial"/>
          <w:b/>
          <w:bCs/>
          <w:sz w:val="26"/>
          <w:szCs w:val="26"/>
        </w:rPr>
        <w:t xml:space="preserve"> </w:t>
      </w:r>
      <w:r w:rsidR="00384E57" w:rsidRPr="003B40E8">
        <w:rPr>
          <w:rFonts w:ascii="Garamond" w:hAnsi="Garamond" w:cs="Arial"/>
          <w:b/>
          <w:bCs/>
          <w:sz w:val="26"/>
          <w:szCs w:val="26"/>
        </w:rPr>
        <w:t>Monitoraggio sulla trasparenza</w:t>
      </w:r>
    </w:p>
    <w:p w14:paraId="4D808099" w14:textId="3AD384A1" w:rsidR="00192C4C" w:rsidRPr="009E6122" w:rsidRDefault="00B25F6C" w:rsidP="00B55234">
      <w:pPr>
        <w:spacing w:after="80" w:line="276" w:lineRule="auto"/>
        <w:jc w:val="both"/>
        <w:rPr>
          <w:rFonts w:ascii="Garamond" w:hAnsi="Garamond" w:cs="Arial"/>
          <w:i/>
          <w:iCs/>
          <w:sz w:val="26"/>
          <w:szCs w:val="26"/>
        </w:rPr>
      </w:pPr>
      <w:r w:rsidRPr="008E2B66">
        <w:rPr>
          <w:rFonts w:ascii="Garamond" w:hAnsi="Garamond" w:cs="Arial"/>
          <w:sz w:val="26"/>
          <w:szCs w:val="26"/>
        </w:rPr>
        <w:t xml:space="preserve">Come </w:t>
      </w:r>
      <w:r w:rsidR="00225552" w:rsidRPr="008E2B66">
        <w:rPr>
          <w:rFonts w:ascii="Garamond" w:hAnsi="Garamond" w:cs="Arial"/>
          <w:sz w:val="26"/>
          <w:szCs w:val="26"/>
        </w:rPr>
        <w:t xml:space="preserve">di consueto </w:t>
      </w:r>
      <w:r w:rsidRPr="008E2B66">
        <w:rPr>
          <w:rFonts w:ascii="Garamond" w:hAnsi="Garamond" w:cs="Arial"/>
          <w:sz w:val="26"/>
          <w:szCs w:val="26"/>
        </w:rPr>
        <w:t>anche</w:t>
      </w:r>
      <w:r w:rsidR="00192C4C" w:rsidRPr="008E2B66">
        <w:rPr>
          <w:rFonts w:ascii="Garamond" w:hAnsi="Garamond" w:cs="Arial"/>
          <w:sz w:val="26"/>
          <w:szCs w:val="26"/>
        </w:rPr>
        <w:t xml:space="preserve"> nel corso </w:t>
      </w:r>
      <w:r w:rsidR="00A66012" w:rsidRPr="008E2B66">
        <w:rPr>
          <w:rFonts w:ascii="Garamond" w:hAnsi="Garamond" w:cs="Arial"/>
          <w:sz w:val="26"/>
          <w:szCs w:val="26"/>
        </w:rPr>
        <w:t>del 2025</w:t>
      </w:r>
      <w:r w:rsidR="00192C4C" w:rsidRPr="008E2B66">
        <w:rPr>
          <w:rFonts w:ascii="Garamond" w:hAnsi="Garamond" w:cs="Arial"/>
          <w:sz w:val="26"/>
          <w:szCs w:val="26"/>
        </w:rPr>
        <w:t xml:space="preserve"> è </w:t>
      </w:r>
      <w:r w:rsidR="00A66012" w:rsidRPr="008E2B66">
        <w:rPr>
          <w:rFonts w:ascii="Garamond" w:hAnsi="Garamond" w:cs="Arial"/>
          <w:sz w:val="26"/>
          <w:szCs w:val="26"/>
        </w:rPr>
        <w:t xml:space="preserve">stato </w:t>
      </w:r>
      <w:r w:rsidR="00192C4C" w:rsidRPr="008E2B66">
        <w:rPr>
          <w:rFonts w:ascii="Garamond" w:hAnsi="Garamond" w:cs="Arial"/>
          <w:sz w:val="26"/>
          <w:szCs w:val="26"/>
        </w:rPr>
        <w:t xml:space="preserve">costantemente </w:t>
      </w:r>
      <w:r w:rsidR="00A66012" w:rsidRPr="008E2B66">
        <w:rPr>
          <w:rFonts w:ascii="Garamond" w:hAnsi="Garamond" w:cs="Arial"/>
          <w:sz w:val="26"/>
          <w:szCs w:val="26"/>
        </w:rPr>
        <w:t>svolto un controllo sullo stato di attuazione degli obblighi di Trasparenza</w:t>
      </w:r>
      <w:r w:rsidR="007C7F2E" w:rsidRPr="008E2B66">
        <w:rPr>
          <w:rFonts w:ascii="Garamond" w:hAnsi="Garamond" w:cs="Arial"/>
          <w:sz w:val="26"/>
          <w:szCs w:val="26"/>
        </w:rPr>
        <w:t xml:space="preserve"> sui dati di pubblicazione obbligatoria</w:t>
      </w:r>
      <w:r w:rsidR="009E6122">
        <w:rPr>
          <w:rFonts w:ascii="Garamond" w:hAnsi="Garamond" w:cs="Arial"/>
          <w:sz w:val="26"/>
          <w:szCs w:val="26"/>
        </w:rPr>
        <w:t>,</w:t>
      </w:r>
      <w:r w:rsidR="007C7F2E" w:rsidRPr="008E2B66">
        <w:rPr>
          <w:rFonts w:ascii="Garamond" w:hAnsi="Garamond" w:cs="Arial"/>
          <w:sz w:val="26"/>
          <w:szCs w:val="26"/>
        </w:rPr>
        <w:t xml:space="preserve"> dal RPCT con il supporto dell’Ufficio UDG2</w:t>
      </w:r>
      <w:r w:rsidR="00286694" w:rsidRPr="008E2B66">
        <w:rPr>
          <w:rFonts w:ascii="Garamond" w:hAnsi="Garamond" w:cs="Arial"/>
          <w:sz w:val="26"/>
          <w:szCs w:val="26"/>
        </w:rPr>
        <w:t xml:space="preserve">, attraverso un monitoraggio della sezione </w:t>
      </w:r>
      <w:r w:rsidR="00286694" w:rsidRPr="009E6122">
        <w:rPr>
          <w:rFonts w:ascii="Garamond" w:hAnsi="Garamond" w:cs="Arial"/>
          <w:i/>
          <w:iCs/>
          <w:sz w:val="26"/>
          <w:szCs w:val="26"/>
        </w:rPr>
        <w:t>Amministrazione Trasparente</w:t>
      </w:r>
      <w:r w:rsidRPr="009E6122">
        <w:rPr>
          <w:rFonts w:ascii="Garamond" w:hAnsi="Garamond" w:cs="Arial"/>
          <w:i/>
          <w:iCs/>
          <w:sz w:val="26"/>
          <w:szCs w:val="26"/>
        </w:rPr>
        <w:t>.</w:t>
      </w:r>
      <w:r w:rsidR="00286694" w:rsidRPr="009E6122">
        <w:rPr>
          <w:rFonts w:ascii="Garamond" w:hAnsi="Garamond" w:cs="Arial"/>
          <w:i/>
          <w:iCs/>
          <w:sz w:val="26"/>
          <w:szCs w:val="26"/>
        </w:rPr>
        <w:t xml:space="preserve"> </w:t>
      </w:r>
    </w:p>
    <w:p w14:paraId="606A73D0" w14:textId="0E6F80A7" w:rsidR="00105964" w:rsidRPr="008E2B66" w:rsidRDefault="00105964" w:rsidP="00B55234">
      <w:pPr>
        <w:spacing w:after="80" w:line="276" w:lineRule="auto"/>
        <w:jc w:val="both"/>
        <w:rPr>
          <w:rFonts w:ascii="Garamond" w:hAnsi="Garamond" w:cs="Arial"/>
          <w:sz w:val="26"/>
          <w:szCs w:val="26"/>
        </w:rPr>
      </w:pPr>
      <w:r w:rsidRPr="008E2B66">
        <w:rPr>
          <w:rFonts w:ascii="Garamond" w:hAnsi="Garamond" w:cs="Arial"/>
          <w:sz w:val="26"/>
          <w:szCs w:val="26"/>
        </w:rPr>
        <w:t>Tale attività di controllo ha riguardato</w:t>
      </w:r>
      <w:r w:rsidR="00F607F5" w:rsidRPr="008E2B66">
        <w:rPr>
          <w:rFonts w:ascii="Garamond" w:hAnsi="Garamond" w:cs="Arial"/>
          <w:sz w:val="26"/>
          <w:szCs w:val="26"/>
        </w:rPr>
        <w:t xml:space="preserve"> in particolare la trasmissione dei dati aggiornati da parte dei</w:t>
      </w:r>
      <w:r w:rsidR="00F07DCF" w:rsidRPr="008E2B66">
        <w:rPr>
          <w:rFonts w:ascii="Garamond" w:hAnsi="Garamond" w:cs="Arial"/>
          <w:sz w:val="26"/>
          <w:szCs w:val="26"/>
        </w:rPr>
        <w:t xml:space="preserve"> vari uffici del CREA e da parte dei Centri di </w:t>
      </w:r>
      <w:r w:rsidR="00A80BD9" w:rsidRPr="008E2B66">
        <w:rPr>
          <w:rFonts w:ascii="Garamond" w:hAnsi="Garamond" w:cs="Arial"/>
          <w:sz w:val="26"/>
          <w:szCs w:val="26"/>
        </w:rPr>
        <w:t>ricerca</w:t>
      </w:r>
      <w:r w:rsidR="00F07DCF" w:rsidRPr="008E2B66">
        <w:rPr>
          <w:rFonts w:ascii="Garamond" w:hAnsi="Garamond" w:cs="Arial"/>
          <w:sz w:val="26"/>
          <w:szCs w:val="26"/>
        </w:rPr>
        <w:t>.</w:t>
      </w:r>
    </w:p>
    <w:p w14:paraId="425F9913" w14:textId="00D43837" w:rsidR="00D25408" w:rsidRPr="008E2B66" w:rsidRDefault="00B25F6C" w:rsidP="00B55234">
      <w:pPr>
        <w:spacing w:after="80" w:line="276" w:lineRule="auto"/>
        <w:jc w:val="both"/>
        <w:rPr>
          <w:rFonts w:ascii="Garamond" w:hAnsi="Garamond" w:cs="Arial"/>
          <w:sz w:val="26"/>
          <w:szCs w:val="26"/>
        </w:rPr>
      </w:pPr>
      <w:r w:rsidRPr="008E2B66">
        <w:rPr>
          <w:rFonts w:ascii="Garamond" w:hAnsi="Garamond" w:cs="Arial"/>
          <w:sz w:val="26"/>
          <w:szCs w:val="26"/>
        </w:rPr>
        <w:t xml:space="preserve">A tale attività </w:t>
      </w:r>
      <w:r w:rsidR="00D027DA" w:rsidRPr="008E2B66">
        <w:rPr>
          <w:rFonts w:ascii="Garamond" w:hAnsi="Garamond" w:cs="Arial"/>
          <w:sz w:val="26"/>
          <w:szCs w:val="26"/>
        </w:rPr>
        <w:t xml:space="preserve">si aggiungono due monitoraggi </w:t>
      </w:r>
      <w:r w:rsidR="00D03D69" w:rsidRPr="008E2B66">
        <w:rPr>
          <w:rFonts w:ascii="Garamond" w:hAnsi="Garamond" w:cs="Arial"/>
          <w:sz w:val="26"/>
          <w:szCs w:val="26"/>
        </w:rPr>
        <w:t>specifici che sono stati effettuati l’uno durante il mese di maggio, in occasione dell</w:t>
      </w:r>
      <w:r w:rsidR="00007696" w:rsidRPr="008E2B66">
        <w:rPr>
          <w:rFonts w:ascii="Garamond" w:hAnsi="Garamond" w:cs="Arial"/>
          <w:sz w:val="26"/>
          <w:szCs w:val="26"/>
        </w:rPr>
        <w:t>’attività di rilevazione degli obblighi di pubblicazione</w:t>
      </w:r>
      <w:r w:rsidR="00F85BDC" w:rsidRPr="008E2B66">
        <w:rPr>
          <w:rFonts w:ascii="Garamond" w:hAnsi="Garamond" w:cs="Arial"/>
          <w:sz w:val="26"/>
          <w:szCs w:val="26"/>
        </w:rPr>
        <w:t xml:space="preserve"> ai fini dell’attestazione OIV, e l’altro nel mese di ottobre in </w:t>
      </w:r>
      <w:r w:rsidR="007C2E72" w:rsidRPr="008E2B66">
        <w:rPr>
          <w:rFonts w:ascii="Garamond" w:hAnsi="Garamond" w:cs="Arial"/>
          <w:sz w:val="26"/>
          <w:szCs w:val="26"/>
        </w:rPr>
        <w:t xml:space="preserve">concomitanza con il monitoraggio sulle misure </w:t>
      </w:r>
      <w:r w:rsidR="00D90419" w:rsidRPr="008E2B66">
        <w:rPr>
          <w:rFonts w:ascii="Garamond" w:hAnsi="Garamond" w:cs="Arial"/>
          <w:sz w:val="26"/>
          <w:szCs w:val="26"/>
        </w:rPr>
        <w:t>di prevenzione</w:t>
      </w:r>
      <w:r w:rsidR="00EA0215" w:rsidRPr="008E2B66">
        <w:rPr>
          <w:rFonts w:ascii="Garamond" w:hAnsi="Garamond" w:cs="Arial"/>
          <w:sz w:val="26"/>
          <w:szCs w:val="26"/>
        </w:rPr>
        <w:t>.</w:t>
      </w:r>
    </w:p>
    <w:p w14:paraId="59BB2CDF" w14:textId="46529E6B" w:rsidR="00EA189E" w:rsidRPr="008E2B66" w:rsidRDefault="00EA189E" w:rsidP="00B55234">
      <w:pPr>
        <w:spacing w:after="80" w:line="276" w:lineRule="auto"/>
        <w:jc w:val="both"/>
        <w:rPr>
          <w:rFonts w:ascii="Garamond" w:hAnsi="Garamond" w:cs="Arial"/>
          <w:sz w:val="26"/>
          <w:szCs w:val="26"/>
        </w:rPr>
      </w:pPr>
      <w:r w:rsidRPr="008E2B66">
        <w:rPr>
          <w:rFonts w:ascii="Garamond" w:hAnsi="Garamond" w:cs="Arial"/>
          <w:sz w:val="26"/>
          <w:szCs w:val="26"/>
        </w:rPr>
        <w:t xml:space="preserve">Il monitoraggio svolto nel mese di maggio ha riguardato principalmente gli obblighi di pubblicazione oggetto di </w:t>
      </w:r>
      <w:r w:rsidR="00371AE8" w:rsidRPr="008E2B66">
        <w:rPr>
          <w:rFonts w:ascii="Garamond" w:hAnsi="Garamond" w:cs="Arial"/>
          <w:sz w:val="26"/>
          <w:szCs w:val="26"/>
        </w:rPr>
        <w:t>rilevazione da parte dell’OIV</w:t>
      </w:r>
      <w:r w:rsidR="00BE2A76" w:rsidRPr="008E2B66">
        <w:rPr>
          <w:rFonts w:ascii="Garamond" w:hAnsi="Garamond" w:cs="Arial"/>
          <w:sz w:val="26"/>
          <w:szCs w:val="26"/>
        </w:rPr>
        <w:t xml:space="preserve"> riguardanti le seguenti sezioni di Amministrazione Trasparente</w:t>
      </w:r>
      <w:r w:rsidR="00CB56A5" w:rsidRPr="008E2B66">
        <w:rPr>
          <w:rFonts w:ascii="Garamond" w:hAnsi="Garamond" w:cs="Arial"/>
          <w:sz w:val="26"/>
          <w:szCs w:val="26"/>
        </w:rPr>
        <w:t>:</w:t>
      </w:r>
    </w:p>
    <w:p w14:paraId="75B5E0B7" w14:textId="7FC8BD1B" w:rsidR="00CB56A5" w:rsidRPr="008E2B66" w:rsidRDefault="00CB56A5" w:rsidP="00B8265F">
      <w:pPr>
        <w:pStyle w:val="Paragrafoelenco"/>
        <w:numPr>
          <w:ilvl w:val="0"/>
          <w:numId w:val="17"/>
        </w:numPr>
        <w:spacing w:after="80" w:line="276" w:lineRule="auto"/>
        <w:jc w:val="both"/>
        <w:rPr>
          <w:rFonts w:ascii="Garamond" w:hAnsi="Garamond" w:cs="Arial"/>
          <w:sz w:val="26"/>
          <w:szCs w:val="26"/>
        </w:rPr>
      </w:pPr>
      <w:r w:rsidRPr="008E2B66">
        <w:rPr>
          <w:rFonts w:ascii="Garamond" w:hAnsi="Garamond" w:cs="Arial"/>
          <w:sz w:val="26"/>
          <w:szCs w:val="26"/>
        </w:rPr>
        <w:t>Consulenti e collaboratori;</w:t>
      </w:r>
    </w:p>
    <w:p w14:paraId="5D7AD659" w14:textId="728CB706" w:rsidR="00CB56A5" w:rsidRPr="008E2B66" w:rsidRDefault="00CB56A5" w:rsidP="00B8265F">
      <w:pPr>
        <w:pStyle w:val="Paragrafoelenco"/>
        <w:numPr>
          <w:ilvl w:val="0"/>
          <w:numId w:val="17"/>
        </w:numPr>
        <w:spacing w:after="80" w:line="276" w:lineRule="auto"/>
        <w:jc w:val="both"/>
        <w:rPr>
          <w:rFonts w:ascii="Garamond" w:hAnsi="Garamond" w:cs="Arial"/>
          <w:sz w:val="26"/>
          <w:szCs w:val="26"/>
        </w:rPr>
      </w:pPr>
      <w:r w:rsidRPr="008E2B66">
        <w:rPr>
          <w:rFonts w:ascii="Garamond" w:hAnsi="Garamond" w:cs="Arial"/>
          <w:sz w:val="26"/>
          <w:szCs w:val="26"/>
        </w:rPr>
        <w:t>Personale;</w:t>
      </w:r>
    </w:p>
    <w:p w14:paraId="4C7DF690" w14:textId="4C0A8F89" w:rsidR="00CB56A5" w:rsidRPr="008E2B66" w:rsidRDefault="00CB56A5" w:rsidP="00B8265F">
      <w:pPr>
        <w:pStyle w:val="Paragrafoelenco"/>
        <w:numPr>
          <w:ilvl w:val="0"/>
          <w:numId w:val="17"/>
        </w:numPr>
        <w:spacing w:after="80" w:line="276" w:lineRule="auto"/>
        <w:jc w:val="both"/>
        <w:rPr>
          <w:rFonts w:ascii="Garamond" w:hAnsi="Garamond" w:cs="Arial"/>
          <w:sz w:val="26"/>
          <w:szCs w:val="26"/>
        </w:rPr>
      </w:pPr>
      <w:r w:rsidRPr="008E2B66">
        <w:rPr>
          <w:rFonts w:ascii="Garamond" w:hAnsi="Garamond" w:cs="Arial"/>
          <w:sz w:val="26"/>
          <w:szCs w:val="26"/>
        </w:rPr>
        <w:t>Bandi di concorso;</w:t>
      </w:r>
    </w:p>
    <w:p w14:paraId="610C9379" w14:textId="75C2ECDE" w:rsidR="00CB56A5" w:rsidRPr="008E2B66" w:rsidRDefault="00CB56A5" w:rsidP="00B8265F">
      <w:pPr>
        <w:pStyle w:val="Paragrafoelenco"/>
        <w:numPr>
          <w:ilvl w:val="0"/>
          <w:numId w:val="17"/>
        </w:numPr>
        <w:spacing w:after="80" w:line="276" w:lineRule="auto"/>
        <w:jc w:val="both"/>
        <w:rPr>
          <w:rFonts w:ascii="Garamond" w:hAnsi="Garamond" w:cs="Arial"/>
          <w:sz w:val="26"/>
          <w:szCs w:val="26"/>
        </w:rPr>
      </w:pPr>
      <w:r w:rsidRPr="008E2B66">
        <w:rPr>
          <w:rFonts w:ascii="Garamond" w:hAnsi="Garamond" w:cs="Arial"/>
          <w:sz w:val="26"/>
          <w:szCs w:val="26"/>
        </w:rPr>
        <w:t>Bandi di gara e contratti</w:t>
      </w:r>
      <w:r w:rsidR="003A5A8F" w:rsidRPr="008E2B66">
        <w:rPr>
          <w:rFonts w:ascii="Garamond" w:hAnsi="Garamond" w:cs="Arial"/>
          <w:sz w:val="26"/>
          <w:szCs w:val="26"/>
        </w:rPr>
        <w:t>;</w:t>
      </w:r>
    </w:p>
    <w:p w14:paraId="4A0E0BF2" w14:textId="16FEE79F" w:rsidR="003A5A8F" w:rsidRPr="008E2B66" w:rsidRDefault="003A5A8F" w:rsidP="00B8265F">
      <w:pPr>
        <w:pStyle w:val="Paragrafoelenco"/>
        <w:numPr>
          <w:ilvl w:val="0"/>
          <w:numId w:val="17"/>
        </w:numPr>
        <w:spacing w:after="80" w:line="276" w:lineRule="auto"/>
        <w:jc w:val="both"/>
        <w:rPr>
          <w:rFonts w:ascii="Garamond" w:hAnsi="Garamond" w:cs="Arial"/>
          <w:sz w:val="26"/>
          <w:szCs w:val="26"/>
        </w:rPr>
      </w:pPr>
      <w:r w:rsidRPr="008E2B66">
        <w:rPr>
          <w:rFonts w:ascii="Garamond" w:hAnsi="Garamond" w:cs="Arial"/>
          <w:sz w:val="26"/>
          <w:szCs w:val="26"/>
        </w:rPr>
        <w:t>Bilancio</w:t>
      </w:r>
    </w:p>
    <w:p w14:paraId="7B135FD4" w14:textId="203BE317" w:rsidR="003E2E4E" w:rsidRPr="008E2B66" w:rsidRDefault="003E2E4E" w:rsidP="00B8265F">
      <w:pPr>
        <w:pStyle w:val="Paragrafoelenco"/>
        <w:numPr>
          <w:ilvl w:val="0"/>
          <w:numId w:val="17"/>
        </w:numPr>
        <w:spacing w:after="80" w:line="276" w:lineRule="auto"/>
        <w:jc w:val="both"/>
        <w:rPr>
          <w:rFonts w:ascii="Garamond" w:hAnsi="Garamond" w:cs="Arial"/>
          <w:sz w:val="26"/>
          <w:szCs w:val="26"/>
        </w:rPr>
      </w:pPr>
      <w:r w:rsidRPr="008E2B66">
        <w:rPr>
          <w:rFonts w:ascii="Garamond" w:hAnsi="Garamond" w:cs="Arial"/>
          <w:sz w:val="26"/>
          <w:szCs w:val="26"/>
        </w:rPr>
        <w:t>Altri contenuti/Prevenzione della Corruzione.</w:t>
      </w:r>
    </w:p>
    <w:p w14:paraId="2B2EA9B7" w14:textId="46C5A6C8" w:rsidR="00384E57" w:rsidRPr="008E2B66" w:rsidRDefault="005C708D" w:rsidP="00B55234">
      <w:pPr>
        <w:spacing w:after="80" w:line="276" w:lineRule="auto"/>
        <w:jc w:val="both"/>
        <w:rPr>
          <w:rFonts w:ascii="Garamond" w:hAnsi="Garamond" w:cs="Arial"/>
          <w:sz w:val="26"/>
          <w:szCs w:val="26"/>
        </w:rPr>
      </w:pPr>
      <w:r w:rsidRPr="008E2B66">
        <w:rPr>
          <w:rFonts w:ascii="Garamond" w:hAnsi="Garamond" w:cs="Arial"/>
          <w:sz w:val="26"/>
          <w:szCs w:val="26"/>
        </w:rPr>
        <w:lastRenderedPageBreak/>
        <w:t xml:space="preserve">Il secondo monitoraggio </w:t>
      </w:r>
      <w:r w:rsidR="00B4359A" w:rsidRPr="008E2B66">
        <w:rPr>
          <w:rFonts w:ascii="Garamond" w:hAnsi="Garamond" w:cs="Arial"/>
          <w:sz w:val="26"/>
          <w:szCs w:val="26"/>
        </w:rPr>
        <w:t>è stato svolto, per i Centri</w:t>
      </w:r>
      <w:r w:rsidR="002D620A">
        <w:rPr>
          <w:rFonts w:ascii="Garamond" w:hAnsi="Garamond" w:cs="Arial"/>
          <w:sz w:val="26"/>
          <w:szCs w:val="26"/>
        </w:rPr>
        <w:t xml:space="preserve"> di ricerca</w:t>
      </w:r>
      <w:r w:rsidR="00B4359A" w:rsidRPr="008E2B66">
        <w:rPr>
          <w:rFonts w:ascii="Garamond" w:hAnsi="Garamond" w:cs="Arial"/>
          <w:sz w:val="26"/>
          <w:szCs w:val="26"/>
        </w:rPr>
        <w:t>, sul</w:t>
      </w:r>
      <w:r w:rsidR="00FB3ACC" w:rsidRPr="008E2B66">
        <w:rPr>
          <w:rFonts w:ascii="Garamond" w:hAnsi="Garamond" w:cs="Arial"/>
          <w:sz w:val="26"/>
          <w:szCs w:val="26"/>
        </w:rPr>
        <w:t>le seguenti sezioni</w:t>
      </w:r>
      <w:r w:rsidR="00384E57" w:rsidRPr="008E2B66">
        <w:rPr>
          <w:rFonts w:ascii="Garamond" w:hAnsi="Garamond" w:cs="Arial"/>
          <w:sz w:val="26"/>
          <w:szCs w:val="26"/>
        </w:rPr>
        <w:t>:</w:t>
      </w:r>
    </w:p>
    <w:p w14:paraId="0FE6B768" w14:textId="77777777" w:rsidR="009C1518" w:rsidRPr="008E2B66" w:rsidRDefault="00384E57" w:rsidP="00B8265F">
      <w:pPr>
        <w:pStyle w:val="Paragrafoelenco"/>
        <w:numPr>
          <w:ilvl w:val="0"/>
          <w:numId w:val="18"/>
        </w:numPr>
        <w:spacing w:after="80" w:line="276" w:lineRule="auto"/>
        <w:ind w:left="709" w:hanging="283"/>
        <w:jc w:val="both"/>
        <w:rPr>
          <w:rFonts w:ascii="Garamond" w:hAnsi="Garamond" w:cs="Arial"/>
          <w:sz w:val="26"/>
          <w:szCs w:val="26"/>
        </w:rPr>
      </w:pPr>
      <w:r w:rsidRPr="008E2B66">
        <w:rPr>
          <w:rFonts w:ascii="Garamond" w:hAnsi="Garamond" w:cs="Arial"/>
          <w:sz w:val="26"/>
          <w:szCs w:val="26"/>
        </w:rPr>
        <w:t>Consulenti e collaboratori;</w:t>
      </w:r>
    </w:p>
    <w:p w14:paraId="24A2EAFA" w14:textId="10CFD338" w:rsidR="00FF4951" w:rsidRPr="008E2B66" w:rsidRDefault="00FF4951" w:rsidP="00B8265F">
      <w:pPr>
        <w:pStyle w:val="Paragrafoelenco"/>
        <w:numPr>
          <w:ilvl w:val="0"/>
          <w:numId w:val="18"/>
        </w:numPr>
        <w:spacing w:after="80" w:line="276" w:lineRule="auto"/>
        <w:ind w:left="709" w:hanging="283"/>
        <w:jc w:val="both"/>
        <w:rPr>
          <w:rFonts w:ascii="Garamond" w:hAnsi="Garamond" w:cs="Arial"/>
          <w:sz w:val="26"/>
          <w:szCs w:val="26"/>
        </w:rPr>
      </w:pPr>
      <w:r w:rsidRPr="008E2B66">
        <w:rPr>
          <w:rFonts w:ascii="Garamond" w:hAnsi="Garamond" w:cs="Arial"/>
          <w:sz w:val="26"/>
          <w:szCs w:val="26"/>
        </w:rPr>
        <w:t>Personale – art. 18 D.lgs. n. 33/2013;</w:t>
      </w:r>
    </w:p>
    <w:p w14:paraId="06102A8E" w14:textId="77777777" w:rsidR="009C1518" w:rsidRPr="008E2B66" w:rsidRDefault="00384E57" w:rsidP="00B8265F">
      <w:pPr>
        <w:pStyle w:val="Paragrafoelenco"/>
        <w:numPr>
          <w:ilvl w:val="0"/>
          <w:numId w:val="18"/>
        </w:numPr>
        <w:spacing w:after="80" w:line="276" w:lineRule="auto"/>
        <w:ind w:left="709" w:hanging="283"/>
        <w:jc w:val="both"/>
        <w:rPr>
          <w:rFonts w:ascii="Garamond" w:hAnsi="Garamond" w:cs="Arial"/>
          <w:sz w:val="26"/>
          <w:szCs w:val="26"/>
        </w:rPr>
      </w:pPr>
      <w:r w:rsidRPr="008E2B66">
        <w:rPr>
          <w:rFonts w:ascii="Garamond" w:hAnsi="Garamond" w:cs="Arial"/>
          <w:sz w:val="26"/>
          <w:szCs w:val="26"/>
        </w:rPr>
        <w:t>Bandi di concorso;</w:t>
      </w:r>
    </w:p>
    <w:p w14:paraId="655BC304" w14:textId="5D0E3B92" w:rsidR="00384E57" w:rsidRPr="008E2B66" w:rsidRDefault="00384E57" w:rsidP="00B8265F">
      <w:pPr>
        <w:pStyle w:val="Paragrafoelenco"/>
        <w:numPr>
          <w:ilvl w:val="0"/>
          <w:numId w:val="18"/>
        </w:numPr>
        <w:spacing w:after="80" w:line="276" w:lineRule="auto"/>
        <w:ind w:left="709" w:hanging="283"/>
        <w:jc w:val="both"/>
        <w:rPr>
          <w:rFonts w:ascii="Garamond" w:hAnsi="Garamond" w:cs="Arial"/>
          <w:sz w:val="26"/>
          <w:szCs w:val="26"/>
        </w:rPr>
      </w:pPr>
      <w:r w:rsidRPr="008E2B66">
        <w:rPr>
          <w:rFonts w:ascii="Garamond" w:hAnsi="Garamond" w:cs="Arial"/>
          <w:sz w:val="26"/>
          <w:szCs w:val="26"/>
        </w:rPr>
        <w:t>Bandi di gara e contratti.</w:t>
      </w:r>
    </w:p>
    <w:p w14:paraId="344616AF" w14:textId="1839A866" w:rsidR="003C2BF2" w:rsidRPr="008E2B66" w:rsidRDefault="00873308" w:rsidP="00B55234">
      <w:pPr>
        <w:spacing w:after="80" w:line="276" w:lineRule="auto"/>
        <w:jc w:val="both"/>
        <w:rPr>
          <w:rFonts w:ascii="Garamond" w:hAnsi="Garamond" w:cs="Arial"/>
          <w:sz w:val="26"/>
          <w:szCs w:val="26"/>
        </w:rPr>
      </w:pPr>
      <w:r w:rsidRPr="008E2B66">
        <w:rPr>
          <w:rFonts w:ascii="Garamond" w:hAnsi="Garamond" w:cs="Arial"/>
          <w:sz w:val="26"/>
          <w:szCs w:val="26"/>
        </w:rPr>
        <w:t xml:space="preserve"> </w:t>
      </w:r>
      <w:r w:rsidR="00324844" w:rsidRPr="008E2B66">
        <w:rPr>
          <w:rFonts w:ascii="Garamond" w:hAnsi="Garamond" w:cs="Arial"/>
          <w:sz w:val="26"/>
          <w:szCs w:val="26"/>
        </w:rPr>
        <w:t>Mentre,</w:t>
      </w:r>
      <w:r w:rsidR="003B5802" w:rsidRPr="008E2B66">
        <w:rPr>
          <w:rFonts w:ascii="Garamond" w:hAnsi="Garamond" w:cs="Arial"/>
          <w:sz w:val="26"/>
          <w:szCs w:val="26"/>
        </w:rPr>
        <w:t xml:space="preserve"> gli uffici </w:t>
      </w:r>
      <w:r w:rsidR="00FB5D80" w:rsidRPr="008E2B66">
        <w:rPr>
          <w:rFonts w:ascii="Garamond" w:hAnsi="Garamond" w:cs="Arial"/>
          <w:sz w:val="26"/>
          <w:szCs w:val="26"/>
        </w:rPr>
        <w:t>interessati dal</w:t>
      </w:r>
      <w:r w:rsidR="00324844" w:rsidRPr="008E2B66">
        <w:rPr>
          <w:rFonts w:ascii="Garamond" w:hAnsi="Garamond" w:cs="Arial"/>
          <w:sz w:val="26"/>
          <w:szCs w:val="26"/>
        </w:rPr>
        <w:t xml:space="preserve"> secondo</w:t>
      </w:r>
      <w:r w:rsidR="00FB5D80" w:rsidRPr="008E2B66">
        <w:rPr>
          <w:rFonts w:ascii="Garamond" w:hAnsi="Garamond" w:cs="Arial"/>
          <w:sz w:val="26"/>
          <w:szCs w:val="26"/>
        </w:rPr>
        <w:t xml:space="preserve"> monitoraggio sono stati</w:t>
      </w:r>
      <w:r w:rsidR="00E524F8" w:rsidRPr="008E2B66">
        <w:rPr>
          <w:rFonts w:ascii="Garamond" w:hAnsi="Garamond" w:cs="Arial"/>
          <w:sz w:val="26"/>
          <w:szCs w:val="26"/>
        </w:rPr>
        <w:t xml:space="preserve"> i</w:t>
      </w:r>
      <w:r w:rsidR="00905A22" w:rsidRPr="008E2B66">
        <w:rPr>
          <w:rFonts w:ascii="Garamond" w:hAnsi="Garamond" w:cs="Arial"/>
          <w:sz w:val="26"/>
          <w:szCs w:val="26"/>
        </w:rPr>
        <w:t xml:space="preserve"> seguenti</w:t>
      </w:r>
      <w:r w:rsidR="00C52018" w:rsidRPr="008E2B66">
        <w:rPr>
          <w:rFonts w:ascii="Garamond" w:hAnsi="Garamond" w:cs="Arial"/>
          <w:sz w:val="26"/>
          <w:szCs w:val="26"/>
        </w:rPr>
        <w:t>:</w:t>
      </w:r>
    </w:p>
    <w:p w14:paraId="677CB3E7" w14:textId="77777777" w:rsidR="009C1518" w:rsidRPr="008E2B66" w:rsidRDefault="00C52018" w:rsidP="00B8265F">
      <w:pPr>
        <w:pStyle w:val="Paragrafoelenco"/>
        <w:numPr>
          <w:ilvl w:val="0"/>
          <w:numId w:val="19"/>
        </w:numPr>
        <w:spacing w:after="80" w:line="276" w:lineRule="auto"/>
        <w:ind w:left="709" w:hanging="283"/>
        <w:jc w:val="both"/>
        <w:rPr>
          <w:rFonts w:ascii="Garamond" w:hAnsi="Garamond" w:cs="Arial"/>
          <w:sz w:val="26"/>
          <w:szCs w:val="26"/>
        </w:rPr>
      </w:pPr>
      <w:r w:rsidRPr="008E2B66">
        <w:rPr>
          <w:rFonts w:ascii="Garamond" w:hAnsi="Garamond" w:cs="Arial"/>
          <w:sz w:val="26"/>
          <w:szCs w:val="26"/>
        </w:rPr>
        <w:t>Ufficio U</w:t>
      </w:r>
      <w:r w:rsidR="00606287" w:rsidRPr="008E2B66">
        <w:rPr>
          <w:rFonts w:ascii="Garamond" w:hAnsi="Garamond" w:cs="Arial"/>
          <w:sz w:val="26"/>
          <w:szCs w:val="26"/>
        </w:rPr>
        <w:t xml:space="preserve">SC1- Ufficio </w:t>
      </w:r>
      <w:r w:rsidR="009D62A4" w:rsidRPr="008E2B66">
        <w:rPr>
          <w:rFonts w:ascii="Garamond" w:hAnsi="Garamond" w:cs="Arial"/>
          <w:sz w:val="26"/>
          <w:szCs w:val="26"/>
        </w:rPr>
        <w:t>R</w:t>
      </w:r>
      <w:r w:rsidR="00606287" w:rsidRPr="008E2B66">
        <w:rPr>
          <w:rFonts w:ascii="Garamond" w:hAnsi="Garamond" w:cs="Arial"/>
          <w:sz w:val="26"/>
          <w:szCs w:val="26"/>
        </w:rPr>
        <w:t>eclutamento con rife</w:t>
      </w:r>
      <w:r w:rsidR="00CD3DB7" w:rsidRPr="008E2B66">
        <w:rPr>
          <w:rFonts w:ascii="Garamond" w:hAnsi="Garamond" w:cs="Arial"/>
          <w:sz w:val="26"/>
          <w:szCs w:val="26"/>
        </w:rPr>
        <w:t>rimento alla sezione Bandi di concorso</w:t>
      </w:r>
      <w:r w:rsidR="009C1518" w:rsidRPr="008E2B66">
        <w:rPr>
          <w:rFonts w:ascii="Garamond" w:hAnsi="Garamond" w:cs="Arial"/>
          <w:sz w:val="26"/>
          <w:szCs w:val="26"/>
        </w:rPr>
        <w:t>;</w:t>
      </w:r>
    </w:p>
    <w:p w14:paraId="78E8160E" w14:textId="77777777" w:rsidR="009C1518" w:rsidRPr="008E2B66" w:rsidRDefault="00CD3DB7" w:rsidP="00B8265F">
      <w:pPr>
        <w:pStyle w:val="Paragrafoelenco"/>
        <w:numPr>
          <w:ilvl w:val="0"/>
          <w:numId w:val="19"/>
        </w:numPr>
        <w:spacing w:after="80" w:line="276" w:lineRule="auto"/>
        <w:ind w:left="709" w:hanging="283"/>
        <w:jc w:val="both"/>
        <w:rPr>
          <w:rFonts w:ascii="Garamond" w:hAnsi="Garamond" w:cs="Arial"/>
          <w:sz w:val="26"/>
          <w:szCs w:val="26"/>
        </w:rPr>
      </w:pPr>
      <w:r w:rsidRPr="008E2B66">
        <w:rPr>
          <w:rFonts w:ascii="Garamond" w:hAnsi="Garamond" w:cs="Arial"/>
          <w:sz w:val="26"/>
          <w:szCs w:val="26"/>
        </w:rPr>
        <w:t xml:space="preserve">Ufficio </w:t>
      </w:r>
      <w:r w:rsidR="009D62A4" w:rsidRPr="008E2B66">
        <w:rPr>
          <w:rFonts w:ascii="Garamond" w:hAnsi="Garamond" w:cs="Arial"/>
          <w:sz w:val="26"/>
          <w:szCs w:val="26"/>
        </w:rPr>
        <w:t>USC3 – Ufficio Personale</w:t>
      </w:r>
      <w:r w:rsidR="002935E2" w:rsidRPr="008E2B66">
        <w:rPr>
          <w:rFonts w:ascii="Garamond" w:hAnsi="Garamond" w:cs="Arial"/>
          <w:sz w:val="26"/>
          <w:szCs w:val="26"/>
        </w:rPr>
        <w:t xml:space="preserve"> in riferimento </w:t>
      </w:r>
      <w:r w:rsidR="009C1518" w:rsidRPr="008E2B66">
        <w:rPr>
          <w:rFonts w:ascii="Garamond" w:hAnsi="Garamond" w:cs="Arial"/>
          <w:sz w:val="26"/>
          <w:szCs w:val="26"/>
        </w:rPr>
        <w:t>alla sezione Personale;</w:t>
      </w:r>
    </w:p>
    <w:p w14:paraId="7084B1E5" w14:textId="7AA30B55" w:rsidR="009C1518" w:rsidRPr="008E2B66" w:rsidRDefault="009C1518" w:rsidP="00B8265F">
      <w:pPr>
        <w:pStyle w:val="Paragrafoelenco"/>
        <w:numPr>
          <w:ilvl w:val="0"/>
          <w:numId w:val="19"/>
        </w:numPr>
        <w:spacing w:after="80" w:line="276" w:lineRule="auto"/>
        <w:ind w:left="709" w:hanging="283"/>
        <w:jc w:val="both"/>
        <w:rPr>
          <w:rFonts w:ascii="Garamond" w:hAnsi="Garamond" w:cs="Arial"/>
          <w:sz w:val="26"/>
          <w:szCs w:val="26"/>
        </w:rPr>
      </w:pPr>
      <w:r w:rsidRPr="008E2B66">
        <w:rPr>
          <w:rFonts w:ascii="Garamond" w:hAnsi="Garamond" w:cs="Arial"/>
          <w:sz w:val="26"/>
          <w:szCs w:val="26"/>
        </w:rPr>
        <w:t>Ufficio USC5 – Ufficio Negoziale con riferimento alla sezione Bandi di gara.</w:t>
      </w:r>
    </w:p>
    <w:p w14:paraId="7A1CCEAB" w14:textId="30F0C188" w:rsidR="00F338BC" w:rsidRPr="008E2B66" w:rsidRDefault="007C7F96" w:rsidP="00B55234">
      <w:pPr>
        <w:spacing w:after="80" w:line="276" w:lineRule="auto"/>
        <w:jc w:val="both"/>
        <w:rPr>
          <w:rFonts w:ascii="Garamond" w:hAnsi="Garamond" w:cs="Arial"/>
          <w:sz w:val="26"/>
          <w:szCs w:val="26"/>
        </w:rPr>
      </w:pPr>
      <w:r w:rsidRPr="008E2B66">
        <w:rPr>
          <w:rFonts w:ascii="Garamond" w:hAnsi="Garamond" w:cs="Arial"/>
          <w:sz w:val="26"/>
          <w:szCs w:val="26"/>
        </w:rPr>
        <w:t xml:space="preserve">Le principali criticità </w:t>
      </w:r>
      <w:r w:rsidR="00B8220C" w:rsidRPr="008E2B66">
        <w:rPr>
          <w:rFonts w:ascii="Garamond" w:hAnsi="Garamond" w:cs="Arial"/>
          <w:sz w:val="26"/>
          <w:szCs w:val="26"/>
        </w:rPr>
        <w:t>riscontrate</w:t>
      </w:r>
      <w:r w:rsidR="00D44D33" w:rsidRPr="008E2B66">
        <w:rPr>
          <w:rFonts w:ascii="Garamond" w:hAnsi="Garamond" w:cs="Arial"/>
          <w:sz w:val="26"/>
          <w:szCs w:val="26"/>
        </w:rPr>
        <w:t xml:space="preserve"> nel corso della ve</w:t>
      </w:r>
      <w:r w:rsidR="000A5DFA" w:rsidRPr="008E2B66">
        <w:rPr>
          <w:rFonts w:ascii="Garamond" w:hAnsi="Garamond" w:cs="Arial"/>
          <w:sz w:val="26"/>
          <w:szCs w:val="26"/>
        </w:rPr>
        <w:t xml:space="preserve">rifica </w:t>
      </w:r>
      <w:r w:rsidR="00A025D6" w:rsidRPr="008E2B66">
        <w:rPr>
          <w:rFonts w:ascii="Garamond" w:hAnsi="Garamond" w:cs="Arial"/>
          <w:sz w:val="26"/>
          <w:szCs w:val="26"/>
        </w:rPr>
        <w:t xml:space="preserve">hanno riguardato </w:t>
      </w:r>
      <w:r w:rsidR="00835716" w:rsidRPr="008E2B66">
        <w:rPr>
          <w:rFonts w:ascii="Garamond" w:hAnsi="Garamond" w:cs="Arial"/>
          <w:sz w:val="26"/>
          <w:szCs w:val="26"/>
        </w:rPr>
        <w:t>alcuni aspetti relativi alla pubblicazione d</w:t>
      </w:r>
      <w:r w:rsidR="00D97BA8" w:rsidRPr="008E2B66">
        <w:rPr>
          <w:rFonts w:ascii="Garamond" w:hAnsi="Garamond" w:cs="Arial"/>
          <w:sz w:val="26"/>
          <w:szCs w:val="26"/>
        </w:rPr>
        <w:t xml:space="preserve">ei documenti nella sezione </w:t>
      </w:r>
      <w:r w:rsidR="00D97BA8" w:rsidRPr="008E2B66">
        <w:rPr>
          <w:rFonts w:ascii="Garamond" w:hAnsi="Garamond" w:cs="Arial"/>
          <w:i/>
          <w:iCs/>
          <w:sz w:val="26"/>
          <w:szCs w:val="26"/>
        </w:rPr>
        <w:t>Consulenti e collaboratori</w:t>
      </w:r>
      <w:r w:rsidR="00D97BA8" w:rsidRPr="008E2B66">
        <w:rPr>
          <w:rFonts w:ascii="Garamond" w:hAnsi="Garamond" w:cs="Arial"/>
          <w:sz w:val="26"/>
          <w:szCs w:val="26"/>
        </w:rPr>
        <w:t xml:space="preserve"> </w:t>
      </w:r>
      <w:r w:rsidR="00B45E81" w:rsidRPr="008E2B66">
        <w:rPr>
          <w:rFonts w:ascii="Garamond" w:hAnsi="Garamond" w:cs="Arial"/>
          <w:sz w:val="26"/>
          <w:szCs w:val="26"/>
        </w:rPr>
        <w:t>e al riguardo il RPCT ha</w:t>
      </w:r>
      <w:r w:rsidR="00F87E3E" w:rsidRPr="008E2B66">
        <w:rPr>
          <w:rFonts w:ascii="Garamond" w:hAnsi="Garamond" w:cs="Arial"/>
          <w:sz w:val="26"/>
          <w:szCs w:val="26"/>
        </w:rPr>
        <w:t xml:space="preserve"> trasmesso</w:t>
      </w:r>
      <w:r w:rsidR="000D4C97" w:rsidRPr="008E2B66">
        <w:rPr>
          <w:rFonts w:ascii="Garamond" w:hAnsi="Garamond" w:cs="Arial"/>
          <w:sz w:val="26"/>
          <w:szCs w:val="26"/>
        </w:rPr>
        <w:t xml:space="preserve"> a </w:t>
      </w:r>
      <w:r w:rsidR="003737A3" w:rsidRPr="008E2B66">
        <w:rPr>
          <w:rFonts w:ascii="Garamond" w:hAnsi="Garamond" w:cs="Arial"/>
          <w:sz w:val="26"/>
          <w:szCs w:val="26"/>
        </w:rPr>
        <w:t>tutti</w:t>
      </w:r>
      <w:r w:rsidR="000D4C97" w:rsidRPr="008E2B66">
        <w:rPr>
          <w:rFonts w:ascii="Garamond" w:hAnsi="Garamond" w:cs="Arial"/>
          <w:sz w:val="26"/>
          <w:szCs w:val="26"/>
        </w:rPr>
        <w:t xml:space="preserve"> i </w:t>
      </w:r>
      <w:r w:rsidR="000D4C97" w:rsidRPr="008E2B66">
        <w:rPr>
          <w:rFonts w:ascii="Garamond" w:hAnsi="Garamond" w:cs="Arial"/>
          <w:i/>
          <w:iCs/>
          <w:sz w:val="26"/>
          <w:szCs w:val="26"/>
        </w:rPr>
        <w:t>Centri</w:t>
      </w:r>
      <w:r w:rsidR="003737A3" w:rsidRPr="008E2B66">
        <w:rPr>
          <w:rFonts w:ascii="Garamond" w:hAnsi="Garamond" w:cs="Arial"/>
          <w:sz w:val="26"/>
          <w:szCs w:val="26"/>
        </w:rPr>
        <w:t xml:space="preserve">, all’Ufficio </w:t>
      </w:r>
      <w:r w:rsidR="003737A3" w:rsidRPr="008E2B66">
        <w:rPr>
          <w:rFonts w:ascii="Garamond" w:hAnsi="Garamond" w:cs="Arial"/>
          <w:i/>
          <w:iCs/>
          <w:sz w:val="26"/>
          <w:szCs w:val="26"/>
        </w:rPr>
        <w:t xml:space="preserve">Reclutamento e </w:t>
      </w:r>
      <w:r w:rsidR="00F740F4" w:rsidRPr="008E2B66">
        <w:rPr>
          <w:rFonts w:ascii="Garamond" w:hAnsi="Garamond" w:cs="Arial"/>
          <w:i/>
          <w:iCs/>
          <w:sz w:val="26"/>
          <w:szCs w:val="26"/>
        </w:rPr>
        <w:t>razioni</w:t>
      </w:r>
      <w:r w:rsidR="003737A3" w:rsidRPr="008E2B66">
        <w:rPr>
          <w:rFonts w:ascii="Garamond" w:hAnsi="Garamond" w:cs="Arial"/>
          <w:i/>
          <w:iCs/>
          <w:sz w:val="26"/>
          <w:szCs w:val="26"/>
        </w:rPr>
        <w:t xml:space="preserve"> sindacal</w:t>
      </w:r>
      <w:r w:rsidR="003737A3" w:rsidRPr="008E2B66">
        <w:rPr>
          <w:rFonts w:ascii="Garamond" w:hAnsi="Garamond" w:cs="Arial"/>
          <w:sz w:val="26"/>
          <w:szCs w:val="26"/>
        </w:rPr>
        <w:t xml:space="preserve">i e all’Ufficio </w:t>
      </w:r>
      <w:r w:rsidR="003737A3" w:rsidRPr="008E2B66">
        <w:rPr>
          <w:rFonts w:ascii="Garamond" w:hAnsi="Garamond" w:cs="Arial"/>
          <w:i/>
          <w:iCs/>
          <w:sz w:val="26"/>
          <w:szCs w:val="26"/>
        </w:rPr>
        <w:t>Gestione</w:t>
      </w:r>
      <w:r w:rsidR="00F740F4" w:rsidRPr="008E2B66">
        <w:rPr>
          <w:rFonts w:ascii="Garamond" w:hAnsi="Garamond" w:cs="Arial"/>
          <w:i/>
          <w:iCs/>
          <w:sz w:val="26"/>
          <w:szCs w:val="26"/>
        </w:rPr>
        <w:t xml:space="preserve"> del</w:t>
      </w:r>
      <w:r w:rsidR="003737A3" w:rsidRPr="008E2B66">
        <w:rPr>
          <w:rFonts w:ascii="Garamond" w:hAnsi="Garamond" w:cs="Arial"/>
          <w:i/>
          <w:iCs/>
          <w:sz w:val="26"/>
          <w:szCs w:val="26"/>
        </w:rPr>
        <w:t xml:space="preserve"> Personale</w:t>
      </w:r>
      <w:r w:rsidR="00F87E3E" w:rsidRPr="008E2B66">
        <w:rPr>
          <w:rFonts w:ascii="Garamond" w:hAnsi="Garamond" w:cs="Arial"/>
          <w:sz w:val="26"/>
          <w:szCs w:val="26"/>
        </w:rPr>
        <w:t xml:space="preserve"> </w:t>
      </w:r>
      <w:r w:rsidR="00F740F4" w:rsidRPr="008E2B66">
        <w:rPr>
          <w:rFonts w:ascii="Garamond" w:hAnsi="Garamond" w:cs="Arial"/>
          <w:sz w:val="26"/>
          <w:szCs w:val="26"/>
        </w:rPr>
        <w:t>l</w:t>
      </w:r>
      <w:r w:rsidR="00F87E3E" w:rsidRPr="008E2B66">
        <w:rPr>
          <w:rFonts w:ascii="Garamond" w:hAnsi="Garamond" w:cs="Arial"/>
          <w:sz w:val="26"/>
          <w:szCs w:val="26"/>
        </w:rPr>
        <w:t xml:space="preserve">a nota prot. n. </w:t>
      </w:r>
      <w:r w:rsidR="000D4C97" w:rsidRPr="008E2B66">
        <w:rPr>
          <w:rFonts w:ascii="Garamond" w:hAnsi="Garamond" w:cs="Arial"/>
          <w:sz w:val="26"/>
          <w:szCs w:val="26"/>
        </w:rPr>
        <w:t>64187 del 3</w:t>
      </w:r>
      <w:r w:rsidR="009E6122">
        <w:rPr>
          <w:rFonts w:ascii="Garamond" w:hAnsi="Garamond" w:cs="Arial"/>
          <w:sz w:val="26"/>
          <w:szCs w:val="26"/>
        </w:rPr>
        <w:t xml:space="preserve"> settembre </w:t>
      </w:r>
      <w:r w:rsidR="000D4C97" w:rsidRPr="008E2B66">
        <w:rPr>
          <w:rFonts w:ascii="Garamond" w:hAnsi="Garamond" w:cs="Arial"/>
          <w:sz w:val="26"/>
          <w:szCs w:val="26"/>
        </w:rPr>
        <w:t>20</w:t>
      </w:r>
      <w:r w:rsidR="009E6122">
        <w:rPr>
          <w:rFonts w:ascii="Garamond" w:hAnsi="Garamond" w:cs="Arial"/>
          <w:sz w:val="26"/>
          <w:szCs w:val="26"/>
        </w:rPr>
        <w:t>2</w:t>
      </w:r>
      <w:r w:rsidR="000D4C97" w:rsidRPr="008E2B66">
        <w:rPr>
          <w:rFonts w:ascii="Garamond" w:hAnsi="Garamond" w:cs="Arial"/>
          <w:sz w:val="26"/>
          <w:szCs w:val="26"/>
        </w:rPr>
        <w:t>5</w:t>
      </w:r>
      <w:r w:rsidR="00F740F4" w:rsidRPr="008E2B66">
        <w:rPr>
          <w:rFonts w:ascii="Garamond" w:hAnsi="Garamond" w:cs="Arial"/>
          <w:sz w:val="26"/>
          <w:szCs w:val="26"/>
        </w:rPr>
        <w:t xml:space="preserve"> con cui è stata richiamata la massima attenzione nell’acquisizione delle dichiarazioni e delle informazioni di cui all’art. 15 del D.lgs. n. 33/2013</w:t>
      </w:r>
      <w:r w:rsidR="000D4C97" w:rsidRPr="008E2B66">
        <w:rPr>
          <w:rFonts w:ascii="Garamond" w:hAnsi="Garamond" w:cs="Arial"/>
          <w:sz w:val="26"/>
          <w:szCs w:val="26"/>
        </w:rPr>
        <w:t xml:space="preserve"> </w:t>
      </w:r>
      <w:r w:rsidR="002065B7" w:rsidRPr="008E2B66">
        <w:rPr>
          <w:rFonts w:ascii="Garamond" w:hAnsi="Garamond" w:cs="Arial"/>
          <w:sz w:val="26"/>
          <w:szCs w:val="26"/>
        </w:rPr>
        <w:t>e sono state nuovamente fornite indicazioni riguardo alla modalità da seguire per la corretta pubblicazione.</w:t>
      </w:r>
    </w:p>
    <w:p w14:paraId="6BA29F2A" w14:textId="55B1CB9F" w:rsidR="004C5E36" w:rsidRPr="008E2B66" w:rsidRDefault="00F72963" w:rsidP="00B55234">
      <w:pPr>
        <w:spacing w:after="80" w:line="276" w:lineRule="auto"/>
        <w:jc w:val="both"/>
        <w:rPr>
          <w:rFonts w:ascii="Garamond" w:hAnsi="Garamond" w:cs="Arial"/>
          <w:sz w:val="26"/>
          <w:szCs w:val="26"/>
        </w:rPr>
      </w:pPr>
      <w:r w:rsidRPr="008E2B66">
        <w:rPr>
          <w:rFonts w:ascii="Garamond" w:hAnsi="Garamond" w:cs="Arial"/>
          <w:sz w:val="26"/>
          <w:szCs w:val="26"/>
        </w:rPr>
        <w:t xml:space="preserve">Il RPCT ha ritenuto, inoltre, </w:t>
      </w:r>
      <w:r w:rsidR="00397A91" w:rsidRPr="008E2B66">
        <w:rPr>
          <w:rFonts w:ascii="Garamond" w:hAnsi="Garamond" w:cs="Arial"/>
          <w:sz w:val="26"/>
          <w:szCs w:val="26"/>
        </w:rPr>
        <w:t>necessario inviare una nota di carattere generale indirizzata a tutti i Direttori die Centri</w:t>
      </w:r>
      <w:r w:rsidR="009F3416" w:rsidRPr="008E2B66">
        <w:rPr>
          <w:rFonts w:ascii="Garamond" w:hAnsi="Garamond" w:cs="Arial"/>
          <w:sz w:val="26"/>
          <w:szCs w:val="26"/>
        </w:rPr>
        <w:t xml:space="preserve">, con cui sono stati forniti chiarimenti </w:t>
      </w:r>
      <w:r w:rsidR="00F70009" w:rsidRPr="008E2B66">
        <w:rPr>
          <w:rFonts w:ascii="Garamond" w:hAnsi="Garamond" w:cs="Arial"/>
          <w:sz w:val="26"/>
          <w:szCs w:val="26"/>
        </w:rPr>
        <w:t>in merito alle pubblicazioni in materia di contratti pubblici</w:t>
      </w:r>
      <w:r w:rsidR="00A03E69" w:rsidRPr="008E2B66">
        <w:rPr>
          <w:rFonts w:ascii="Garamond" w:hAnsi="Garamond" w:cs="Arial"/>
          <w:sz w:val="26"/>
          <w:szCs w:val="26"/>
        </w:rPr>
        <w:t xml:space="preserve"> </w:t>
      </w:r>
      <w:r w:rsidR="006F2678" w:rsidRPr="008E2B66">
        <w:rPr>
          <w:rFonts w:ascii="Garamond" w:hAnsi="Garamond" w:cs="Arial"/>
          <w:sz w:val="26"/>
          <w:szCs w:val="26"/>
        </w:rPr>
        <w:t>i</w:t>
      </w:r>
      <w:r w:rsidR="00A03E69" w:rsidRPr="008E2B66">
        <w:rPr>
          <w:rFonts w:ascii="Garamond" w:hAnsi="Garamond" w:cs="Arial"/>
          <w:sz w:val="26"/>
          <w:szCs w:val="26"/>
        </w:rPr>
        <w:t xml:space="preserve">n particolare </w:t>
      </w:r>
      <w:r w:rsidR="006E3A6F" w:rsidRPr="008E2B66">
        <w:rPr>
          <w:rFonts w:ascii="Garamond" w:hAnsi="Garamond" w:cs="Arial"/>
          <w:sz w:val="26"/>
          <w:szCs w:val="26"/>
        </w:rPr>
        <w:t xml:space="preserve">riferiti ai </w:t>
      </w:r>
      <w:r w:rsidR="0049241F" w:rsidRPr="008E2B66">
        <w:rPr>
          <w:rFonts w:ascii="Garamond" w:hAnsi="Garamond" w:cs="Arial"/>
          <w:sz w:val="26"/>
          <w:szCs w:val="26"/>
        </w:rPr>
        <w:t>progetti PNRR.</w:t>
      </w:r>
    </w:p>
    <w:p w14:paraId="4485A0F8" w14:textId="4F6294A1" w:rsidR="00CD1269" w:rsidRPr="003B40E8" w:rsidRDefault="00E1105D" w:rsidP="00CD1269">
      <w:pPr>
        <w:spacing w:after="80" w:line="276" w:lineRule="auto"/>
        <w:jc w:val="both"/>
        <w:rPr>
          <w:rFonts w:ascii="Garamond" w:hAnsi="Garamond" w:cs="Arial"/>
          <w:sz w:val="26"/>
          <w:szCs w:val="26"/>
        </w:rPr>
      </w:pPr>
      <w:r w:rsidRPr="003B40E8">
        <w:rPr>
          <w:rFonts w:ascii="Garamond" w:hAnsi="Garamond" w:cs="Arial"/>
          <w:sz w:val="26"/>
          <w:szCs w:val="26"/>
        </w:rPr>
        <w:t>Il</w:t>
      </w:r>
      <w:r w:rsidR="00CD1269" w:rsidRPr="003B40E8">
        <w:rPr>
          <w:rFonts w:ascii="Garamond" w:hAnsi="Garamond" w:cs="Arial"/>
          <w:sz w:val="26"/>
          <w:szCs w:val="26"/>
        </w:rPr>
        <w:t xml:space="preserve"> monitoraggio </w:t>
      </w:r>
      <w:r w:rsidRPr="003B40E8">
        <w:rPr>
          <w:rFonts w:ascii="Garamond" w:hAnsi="Garamond" w:cs="Arial"/>
          <w:sz w:val="26"/>
          <w:szCs w:val="26"/>
        </w:rPr>
        <w:t xml:space="preserve">viene effettuato </w:t>
      </w:r>
      <w:r w:rsidR="00CD1269" w:rsidRPr="003B40E8">
        <w:rPr>
          <w:rFonts w:ascii="Garamond" w:hAnsi="Garamond" w:cs="Arial"/>
          <w:sz w:val="26"/>
          <w:szCs w:val="26"/>
        </w:rPr>
        <w:t>sulla base dei parametri definiti</w:t>
      </w:r>
      <w:r w:rsidR="00310C80" w:rsidRPr="003B40E8">
        <w:rPr>
          <w:rFonts w:ascii="Garamond" w:hAnsi="Garamond" w:cs="Arial"/>
          <w:sz w:val="26"/>
          <w:szCs w:val="26"/>
        </w:rPr>
        <w:t xml:space="preserve"> </w:t>
      </w:r>
      <w:r w:rsidR="00CD1269" w:rsidRPr="003B40E8">
        <w:rPr>
          <w:rFonts w:ascii="Garamond" w:hAnsi="Garamond" w:cs="Arial"/>
          <w:sz w:val="26"/>
          <w:szCs w:val="26"/>
        </w:rPr>
        <w:t>dall’ANAC per le annuali attestazioni di trasparenza di competenza dell’OIV. In particolare</w:t>
      </w:r>
      <w:r w:rsidR="00AA6FFE" w:rsidRPr="003B40E8">
        <w:rPr>
          <w:rFonts w:ascii="Garamond" w:hAnsi="Garamond" w:cs="Arial"/>
          <w:sz w:val="26"/>
          <w:szCs w:val="26"/>
        </w:rPr>
        <w:t>,</w:t>
      </w:r>
      <w:r w:rsidR="00310C80" w:rsidRPr="003B40E8">
        <w:rPr>
          <w:rFonts w:ascii="Garamond" w:hAnsi="Garamond" w:cs="Arial"/>
          <w:sz w:val="26"/>
          <w:szCs w:val="26"/>
        </w:rPr>
        <w:t xml:space="preserve"> </w:t>
      </w:r>
      <w:r w:rsidR="00DD1CC1" w:rsidRPr="003B40E8">
        <w:rPr>
          <w:rFonts w:ascii="Garamond" w:hAnsi="Garamond" w:cs="Arial"/>
          <w:sz w:val="26"/>
          <w:szCs w:val="26"/>
        </w:rPr>
        <w:t xml:space="preserve">si tiene </w:t>
      </w:r>
      <w:r w:rsidR="00AA6FFE" w:rsidRPr="003B40E8">
        <w:rPr>
          <w:rFonts w:ascii="Garamond" w:hAnsi="Garamond" w:cs="Arial"/>
          <w:sz w:val="26"/>
          <w:szCs w:val="26"/>
        </w:rPr>
        <w:t>conto dei seguenti criteri:</w:t>
      </w:r>
    </w:p>
    <w:p w14:paraId="557D20A3" w14:textId="55D52425" w:rsidR="00CD1269" w:rsidRPr="003B40E8" w:rsidRDefault="00CD1269" w:rsidP="00CD1269">
      <w:pPr>
        <w:spacing w:after="80" w:line="276" w:lineRule="auto"/>
        <w:jc w:val="both"/>
        <w:rPr>
          <w:rFonts w:ascii="Garamond" w:hAnsi="Garamond" w:cs="Arial"/>
          <w:sz w:val="26"/>
          <w:szCs w:val="26"/>
        </w:rPr>
      </w:pPr>
      <w:r w:rsidRPr="003B40E8">
        <w:rPr>
          <w:rFonts w:ascii="Garamond" w:hAnsi="Garamond" w:cs="Arial"/>
          <w:sz w:val="26"/>
          <w:szCs w:val="26"/>
        </w:rPr>
        <w:t> conformità</w:t>
      </w:r>
      <w:r w:rsidR="00AA6FFE" w:rsidRPr="003B40E8">
        <w:rPr>
          <w:rFonts w:ascii="Garamond" w:hAnsi="Garamond" w:cs="Arial"/>
          <w:sz w:val="26"/>
          <w:szCs w:val="26"/>
        </w:rPr>
        <w:t>;</w:t>
      </w:r>
    </w:p>
    <w:p w14:paraId="3C59DF30" w14:textId="4B8004FC" w:rsidR="00CD1269" w:rsidRPr="003B40E8" w:rsidRDefault="00CD1269" w:rsidP="00CD1269">
      <w:pPr>
        <w:spacing w:after="80" w:line="276" w:lineRule="auto"/>
        <w:jc w:val="both"/>
        <w:rPr>
          <w:rFonts w:ascii="Garamond" w:hAnsi="Garamond" w:cs="Arial"/>
          <w:sz w:val="26"/>
          <w:szCs w:val="26"/>
        </w:rPr>
      </w:pPr>
      <w:r w:rsidRPr="003B40E8">
        <w:rPr>
          <w:rFonts w:ascii="Garamond" w:hAnsi="Garamond" w:cs="Arial"/>
          <w:sz w:val="26"/>
          <w:szCs w:val="26"/>
        </w:rPr>
        <w:t> completezza (con riferimento al contenuto della pubblicazione e a tutti i soggetti)</w:t>
      </w:r>
      <w:r w:rsidR="00AA6FFE" w:rsidRPr="003B40E8">
        <w:rPr>
          <w:rFonts w:ascii="Garamond" w:hAnsi="Garamond" w:cs="Arial"/>
          <w:sz w:val="26"/>
          <w:szCs w:val="26"/>
        </w:rPr>
        <w:t>;</w:t>
      </w:r>
    </w:p>
    <w:p w14:paraId="5ED40356" w14:textId="4990EE9D" w:rsidR="00CD1269" w:rsidRPr="003B40E8" w:rsidRDefault="00CD1269" w:rsidP="00CD1269">
      <w:pPr>
        <w:spacing w:after="80" w:line="276" w:lineRule="auto"/>
        <w:jc w:val="both"/>
        <w:rPr>
          <w:rFonts w:ascii="Garamond" w:hAnsi="Garamond" w:cs="Arial"/>
          <w:sz w:val="26"/>
          <w:szCs w:val="26"/>
        </w:rPr>
      </w:pPr>
      <w:r w:rsidRPr="003B40E8">
        <w:rPr>
          <w:rFonts w:ascii="Garamond" w:hAnsi="Garamond" w:cs="Arial"/>
          <w:sz w:val="26"/>
          <w:szCs w:val="26"/>
        </w:rPr>
        <w:t> aggiornamento</w:t>
      </w:r>
      <w:r w:rsidR="00AA6FFE" w:rsidRPr="003B40E8">
        <w:rPr>
          <w:rFonts w:ascii="Garamond" w:hAnsi="Garamond" w:cs="Arial"/>
          <w:sz w:val="26"/>
          <w:szCs w:val="26"/>
        </w:rPr>
        <w:t>;</w:t>
      </w:r>
    </w:p>
    <w:p w14:paraId="4650FB5A" w14:textId="0690DE5A" w:rsidR="00CD1269" w:rsidRPr="003B40E8" w:rsidRDefault="00CD1269" w:rsidP="00CD1269">
      <w:pPr>
        <w:spacing w:after="80" w:line="276" w:lineRule="auto"/>
        <w:jc w:val="both"/>
        <w:rPr>
          <w:rFonts w:ascii="Garamond" w:hAnsi="Garamond" w:cs="Arial"/>
          <w:sz w:val="26"/>
          <w:szCs w:val="26"/>
        </w:rPr>
      </w:pPr>
      <w:r w:rsidRPr="003B40E8">
        <w:rPr>
          <w:rFonts w:ascii="Garamond" w:hAnsi="Garamond" w:cs="Arial"/>
          <w:sz w:val="26"/>
          <w:szCs w:val="26"/>
        </w:rPr>
        <w:t> apertura dato.</w:t>
      </w:r>
    </w:p>
    <w:p w14:paraId="33085E4D" w14:textId="2BC77EB8" w:rsidR="00A82104" w:rsidRPr="008E2B66" w:rsidRDefault="00A82104" w:rsidP="00B55234">
      <w:pPr>
        <w:spacing w:after="80" w:line="276" w:lineRule="auto"/>
        <w:jc w:val="both"/>
        <w:rPr>
          <w:rFonts w:ascii="Garamond" w:hAnsi="Garamond" w:cs="Arial"/>
          <w:sz w:val="26"/>
          <w:szCs w:val="26"/>
        </w:rPr>
      </w:pPr>
      <w:r w:rsidRPr="003B40E8">
        <w:rPr>
          <w:rFonts w:ascii="Garamond" w:hAnsi="Garamond" w:cs="Arial"/>
          <w:sz w:val="26"/>
          <w:szCs w:val="26"/>
        </w:rPr>
        <w:t xml:space="preserve">Anche per </w:t>
      </w:r>
      <w:r w:rsidR="0079729E" w:rsidRPr="003B40E8">
        <w:rPr>
          <w:rFonts w:ascii="Garamond" w:hAnsi="Garamond" w:cs="Arial"/>
          <w:sz w:val="26"/>
          <w:szCs w:val="26"/>
        </w:rPr>
        <w:t xml:space="preserve">il </w:t>
      </w:r>
      <w:r w:rsidR="00EC50B0" w:rsidRPr="003B40E8">
        <w:rPr>
          <w:rFonts w:ascii="Garamond" w:hAnsi="Garamond" w:cs="Arial"/>
          <w:sz w:val="26"/>
          <w:szCs w:val="26"/>
        </w:rPr>
        <w:t xml:space="preserve">2026 </w:t>
      </w:r>
      <w:r w:rsidR="008A2506" w:rsidRPr="003B40E8">
        <w:rPr>
          <w:rFonts w:ascii="Garamond" w:hAnsi="Garamond" w:cs="Arial"/>
          <w:sz w:val="26"/>
          <w:szCs w:val="26"/>
        </w:rPr>
        <w:t xml:space="preserve">sono previsti due monitoraggi </w:t>
      </w:r>
      <w:r w:rsidR="00F52609" w:rsidRPr="003B40E8">
        <w:rPr>
          <w:rFonts w:ascii="Garamond" w:hAnsi="Garamond" w:cs="Arial"/>
          <w:sz w:val="26"/>
          <w:szCs w:val="26"/>
        </w:rPr>
        <w:t xml:space="preserve">introno al mese di aprile/maggio e entro </w:t>
      </w:r>
      <w:r w:rsidR="007A0361" w:rsidRPr="003B40E8">
        <w:rPr>
          <w:rFonts w:ascii="Garamond" w:hAnsi="Garamond" w:cs="Arial"/>
          <w:sz w:val="26"/>
          <w:szCs w:val="26"/>
        </w:rPr>
        <w:t>novembre</w:t>
      </w:r>
      <w:r w:rsidR="00EE14EA" w:rsidRPr="003B40E8">
        <w:rPr>
          <w:rFonts w:ascii="Garamond" w:hAnsi="Garamond" w:cs="Arial"/>
          <w:sz w:val="26"/>
          <w:szCs w:val="26"/>
        </w:rPr>
        <w:t>.</w:t>
      </w:r>
    </w:p>
    <w:p w14:paraId="73C5F552" w14:textId="77777777" w:rsidR="00437583" w:rsidRPr="008E2B66" w:rsidRDefault="00437583" w:rsidP="00384E57">
      <w:pPr>
        <w:spacing w:line="360" w:lineRule="auto"/>
        <w:jc w:val="both"/>
        <w:rPr>
          <w:rFonts w:ascii="Garamond" w:hAnsi="Garamond" w:cs="Arial"/>
          <w:sz w:val="26"/>
          <w:szCs w:val="26"/>
        </w:rPr>
      </w:pPr>
    </w:p>
    <w:p w14:paraId="72F67F8C" w14:textId="3419632C" w:rsidR="00384E57" w:rsidRPr="008E2B66" w:rsidRDefault="00821AC3" w:rsidP="00184325">
      <w:pPr>
        <w:tabs>
          <w:tab w:val="left" w:pos="720"/>
        </w:tabs>
        <w:spacing w:line="360" w:lineRule="auto"/>
        <w:jc w:val="both"/>
        <w:rPr>
          <w:rFonts w:ascii="Garamond" w:hAnsi="Garamond" w:cs="Arial"/>
          <w:b/>
          <w:bCs/>
          <w:sz w:val="26"/>
          <w:szCs w:val="26"/>
        </w:rPr>
      </w:pPr>
      <w:r w:rsidRPr="003B40E8">
        <w:rPr>
          <w:rFonts w:ascii="Garamond" w:hAnsi="Garamond" w:cs="Arial"/>
          <w:b/>
          <w:bCs/>
          <w:sz w:val="26"/>
          <w:szCs w:val="26"/>
        </w:rPr>
        <w:t>2.3.3.</w:t>
      </w:r>
      <w:r w:rsidR="00A50D55" w:rsidRPr="003B40E8">
        <w:rPr>
          <w:rFonts w:ascii="Garamond" w:hAnsi="Garamond" w:cs="Arial"/>
          <w:b/>
          <w:bCs/>
          <w:sz w:val="26"/>
          <w:szCs w:val="26"/>
        </w:rPr>
        <w:t>4</w:t>
      </w:r>
      <w:r w:rsidRPr="003B40E8">
        <w:rPr>
          <w:rFonts w:ascii="Garamond" w:hAnsi="Garamond" w:cs="Arial"/>
          <w:b/>
          <w:bCs/>
          <w:sz w:val="26"/>
          <w:szCs w:val="26"/>
        </w:rPr>
        <w:t xml:space="preserve"> </w:t>
      </w:r>
      <w:r w:rsidR="00384E57" w:rsidRPr="003B40E8">
        <w:rPr>
          <w:rFonts w:ascii="Garamond" w:hAnsi="Garamond" w:cs="Arial"/>
          <w:b/>
          <w:bCs/>
          <w:sz w:val="26"/>
          <w:szCs w:val="26"/>
        </w:rPr>
        <w:t xml:space="preserve">Registro degli accessi </w:t>
      </w:r>
      <w:r w:rsidR="000F3EF1" w:rsidRPr="003B40E8">
        <w:rPr>
          <w:rFonts w:ascii="Garamond" w:hAnsi="Garamond" w:cs="Arial"/>
          <w:b/>
          <w:bCs/>
          <w:sz w:val="26"/>
          <w:szCs w:val="26"/>
        </w:rPr>
        <w:t>ed esercizio del diritto di accesso presso il CREA.</w:t>
      </w:r>
    </w:p>
    <w:p w14:paraId="2B61C137" w14:textId="29EA5D3D" w:rsidR="00384E57" w:rsidRPr="008E2B66" w:rsidRDefault="00384E57" w:rsidP="00B55234">
      <w:pPr>
        <w:autoSpaceDE w:val="0"/>
        <w:autoSpaceDN w:val="0"/>
        <w:adjustRightInd w:val="0"/>
        <w:spacing w:after="80" w:line="276" w:lineRule="auto"/>
        <w:jc w:val="both"/>
        <w:rPr>
          <w:rFonts w:ascii="Garamond" w:hAnsi="Garamond" w:cs="Arial"/>
          <w:sz w:val="26"/>
          <w:szCs w:val="26"/>
        </w:rPr>
      </w:pPr>
      <w:r w:rsidRPr="008E2B66">
        <w:rPr>
          <w:rFonts w:ascii="Garamond" w:hAnsi="Garamond" w:cs="Arial"/>
          <w:sz w:val="26"/>
          <w:szCs w:val="26"/>
        </w:rPr>
        <w:t>Il diritto di accesso civico è disciplinato agli art</w:t>
      </w:r>
      <w:r w:rsidR="009E6122">
        <w:rPr>
          <w:rFonts w:ascii="Garamond" w:hAnsi="Garamond" w:cs="Arial"/>
          <w:sz w:val="26"/>
          <w:szCs w:val="26"/>
        </w:rPr>
        <w:t xml:space="preserve">t. </w:t>
      </w:r>
      <w:r w:rsidRPr="008E2B66">
        <w:rPr>
          <w:rFonts w:ascii="Garamond" w:hAnsi="Garamond" w:cs="Arial"/>
          <w:sz w:val="26"/>
          <w:szCs w:val="26"/>
        </w:rPr>
        <w:t xml:space="preserve">5 e 5 </w:t>
      </w:r>
      <w:r w:rsidRPr="009E6122">
        <w:rPr>
          <w:rFonts w:ascii="Garamond" w:hAnsi="Garamond" w:cs="Arial"/>
          <w:i/>
          <w:iCs/>
          <w:sz w:val="26"/>
          <w:szCs w:val="26"/>
        </w:rPr>
        <w:t>bis</w:t>
      </w:r>
      <w:r w:rsidRPr="008E2B66">
        <w:rPr>
          <w:rFonts w:ascii="Garamond" w:hAnsi="Garamond" w:cs="Arial"/>
          <w:sz w:val="26"/>
          <w:szCs w:val="26"/>
        </w:rPr>
        <w:t xml:space="preserve"> del D.</w:t>
      </w:r>
      <w:r w:rsidR="00566AE6" w:rsidRPr="008E2B66">
        <w:rPr>
          <w:rFonts w:ascii="Garamond" w:hAnsi="Garamond" w:cs="Arial"/>
          <w:sz w:val="26"/>
          <w:szCs w:val="26"/>
        </w:rPr>
        <w:t>l</w:t>
      </w:r>
      <w:r w:rsidRPr="008E2B66">
        <w:rPr>
          <w:rFonts w:ascii="Garamond" w:hAnsi="Garamond" w:cs="Arial"/>
          <w:sz w:val="26"/>
          <w:szCs w:val="26"/>
        </w:rPr>
        <w:t>gs. n. 33/2013 come modificato dal D.</w:t>
      </w:r>
      <w:r w:rsidR="00566AE6" w:rsidRPr="008E2B66">
        <w:rPr>
          <w:rFonts w:ascii="Garamond" w:hAnsi="Garamond" w:cs="Arial"/>
          <w:sz w:val="26"/>
          <w:szCs w:val="26"/>
        </w:rPr>
        <w:t>l</w:t>
      </w:r>
      <w:r w:rsidRPr="008E2B66">
        <w:rPr>
          <w:rFonts w:ascii="Garamond" w:hAnsi="Garamond" w:cs="Arial"/>
          <w:sz w:val="26"/>
          <w:szCs w:val="26"/>
        </w:rPr>
        <w:t>gs. n. 97/2016. A seguito dell’entrata in vigore del D.</w:t>
      </w:r>
      <w:r w:rsidR="00566AE6" w:rsidRPr="008E2B66">
        <w:rPr>
          <w:rFonts w:ascii="Garamond" w:hAnsi="Garamond" w:cs="Arial"/>
          <w:sz w:val="26"/>
          <w:szCs w:val="26"/>
        </w:rPr>
        <w:t>l</w:t>
      </w:r>
      <w:r w:rsidRPr="008E2B66">
        <w:rPr>
          <w:rFonts w:ascii="Garamond" w:hAnsi="Garamond" w:cs="Arial"/>
          <w:sz w:val="26"/>
          <w:szCs w:val="26"/>
        </w:rPr>
        <w:t xml:space="preserve">gs. n. 97/2016 e in attuazione delle Linee Guida ANAC n. 1309 del 28.12.2016, l’Ente ha adottato un apposito </w:t>
      </w:r>
      <w:hyperlink r:id="rId23" w:history="1">
        <w:r w:rsidRPr="008E2B66">
          <w:rPr>
            <w:rStyle w:val="Collegamentoipertestuale"/>
            <w:rFonts w:ascii="Garamond" w:hAnsi="Garamond" w:cs="Arial"/>
            <w:sz w:val="26"/>
            <w:szCs w:val="26"/>
          </w:rPr>
          <w:t>Regolamento sul diritto di accesso documentale, civico semplice e generalizzato</w:t>
        </w:r>
      </w:hyperlink>
      <w:r w:rsidRPr="008E2B66">
        <w:rPr>
          <w:rFonts w:ascii="Garamond" w:hAnsi="Garamond" w:cs="Arial"/>
          <w:sz w:val="26"/>
          <w:szCs w:val="26"/>
        </w:rPr>
        <w:t xml:space="preserve"> che racchiude l’intera disciplina del diritto di accesso prevedendo una sezione dedicata alla disciplina dell’accesso documentale e una sezione dedicata all’accesso civico nelle due forme del semplice e del generalizzato. Si è inoltre provveduto ad aggiornare ed implementare l’apposita sezione del sito Amministrazione Trasparente – Sotto Sezione “Altri Contenuti – Accesso Civico”. Inoltre, in conformità alla citata </w:t>
      </w:r>
      <w:r w:rsidR="00B945B2" w:rsidRPr="008E2B66">
        <w:rPr>
          <w:rFonts w:ascii="Garamond" w:hAnsi="Garamond" w:cs="Arial"/>
          <w:sz w:val="26"/>
          <w:szCs w:val="26"/>
        </w:rPr>
        <w:lastRenderedPageBreak/>
        <w:t>d</w:t>
      </w:r>
      <w:r w:rsidRPr="008E2B66">
        <w:rPr>
          <w:rFonts w:ascii="Garamond" w:hAnsi="Garamond" w:cs="Arial"/>
          <w:sz w:val="26"/>
          <w:szCs w:val="26"/>
        </w:rPr>
        <w:t xml:space="preserve">elibera ANAC del 2016 e alle disposizioni contenute nella Circolare del Ministro per la semplificazione e la pubblica amministrazione n. 2/2017, è stato istituito il </w:t>
      </w:r>
      <w:hyperlink r:id="rId24" w:history="1">
        <w:r w:rsidRPr="008E2B66">
          <w:rPr>
            <w:rStyle w:val="Collegamentoipertestuale"/>
            <w:rFonts w:ascii="Garamond" w:hAnsi="Garamond" w:cs="Arial"/>
            <w:sz w:val="26"/>
            <w:szCs w:val="26"/>
          </w:rPr>
          <w:t>Registro degli accessi</w:t>
        </w:r>
      </w:hyperlink>
      <w:r w:rsidRPr="008E2B66">
        <w:rPr>
          <w:rFonts w:ascii="Garamond" w:hAnsi="Garamond" w:cs="Arial"/>
          <w:sz w:val="26"/>
          <w:szCs w:val="26"/>
        </w:rPr>
        <w:t xml:space="preserve"> in cui sono elencate le richieste di Accesso Documentale, Accesso Civico Semplice e Accesso Civico Generalizzato. Il predetto Registro contiene le seguenti informazioni: tipologia di accesso, data presentazione della istanza, numero e data di protocollo, oggetto della richiesta di accesso, l’Ufficio o Unità organizzativa del CREA responsabile dell’istruttoria, presenza di eventuali controinteressati, esito procedimento di accesso e sintesi della motivazione, data dell’esito. Inoltre, sempre nel registro sono previste informazioni relative al riesame e al ricorso al TAR in materia di accesso. Il registro degli accessi viene aggiornato semestralmente</w:t>
      </w:r>
      <w:r w:rsidR="000F3EF1" w:rsidRPr="008E2B66">
        <w:rPr>
          <w:rFonts w:ascii="Garamond" w:hAnsi="Garamond" w:cs="Arial"/>
          <w:sz w:val="26"/>
          <w:szCs w:val="26"/>
        </w:rPr>
        <w:t xml:space="preserve"> sulla base dei dati comunicati dagli Uffici e dai Centri</w:t>
      </w:r>
      <w:r w:rsidR="00F338BC" w:rsidRPr="008E2B66">
        <w:rPr>
          <w:rFonts w:ascii="Garamond" w:hAnsi="Garamond" w:cs="Arial"/>
          <w:sz w:val="26"/>
          <w:szCs w:val="26"/>
        </w:rPr>
        <w:t xml:space="preserve"> e di quelli in possesso del RPCT (es. accesso civico semplice e riesame accesso civico generalizzato).</w:t>
      </w:r>
    </w:p>
    <w:p w14:paraId="50A576C8" w14:textId="1F07C5A8" w:rsidR="00174373" w:rsidRPr="008E2B66" w:rsidRDefault="00174373" w:rsidP="00174373">
      <w:pPr>
        <w:autoSpaceDE w:val="0"/>
        <w:autoSpaceDN w:val="0"/>
        <w:adjustRightInd w:val="0"/>
        <w:spacing w:after="80" w:line="276" w:lineRule="auto"/>
        <w:jc w:val="both"/>
        <w:rPr>
          <w:rFonts w:ascii="Garamond" w:hAnsi="Garamond" w:cs="Arial"/>
          <w:sz w:val="26"/>
          <w:szCs w:val="26"/>
        </w:rPr>
      </w:pPr>
      <w:r w:rsidRPr="008E2B66">
        <w:rPr>
          <w:rFonts w:ascii="Garamond" w:hAnsi="Garamond" w:cs="Arial"/>
          <w:sz w:val="26"/>
          <w:szCs w:val="26"/>
        </w:rPr>
        <w:t>Risulta ancora scarso il ricorso all’accesso civico nelle sue varie forme -</w:t>
      </w:r>
      <w:r w:rsidR="009E6122">
        <w:rPr>
          <w:rFonts w:ascii="Garamond" w:hAnsi="Garamond" w:cs="Arial"/>
          <w:sz w:val="26"/>
          <w:szCs w:val="26"/>
        </w:rPr>
        <w:t xml:space="preserve"> </w:t>
      </w:r>
      <w:r w:rsidRPr="008E2B66">
        <w:rPr>
          <w:rFonts w:ascii="Garamond" w:hAnsi="Garamond" w:cs="Arial"/>
          <w:sz w:val="26"/>
          <w:szCs w:val="26"/>
        </w:rPr>
        <w:t xml:space="preserve">così come introdotto dal FOIA circa dieci anni fa- rispetto all’accesso documentale disciplinato dalla L.241/1990.  </w:t>
      </w:r>
    </w:p>
    <w:p w14:paraId="49F69304" w14:textId="153D8401" w:rsidR="000F3EF1" w:rsidRPr="008E2B66" w:rsidRDefault="000F3EF1" w:rsidP="00174373">
      <w:pPr>
        <w:autoSpaceDE w:val="0"/>
        <w:autoSpaceDN w:val="0"/>
        <w:adjustRightInd w:val="0"/>
        <w:spacing w:after="80" w:line="276" w:lineRule="auto"/>
        <w:jc w:val="both"/>
        <w:rPr>
          <w:rFonts w:ascii="Garamond" w:hAnsi="Garamond" w:cs="Arial"/>
          <w:sz w:val="26"/>
          <w:szCs w:val="26"/>
        </w:rPr>
      </w:pPr>
      <w:r w:rsidRPr="008E2B66">
        <w:rPr>
          <w:rFonts w:ascii="Garamond" w:hAnsi="Garamond" w:cs="Arial"/>
          <w:sz w:val="26"/>
          <w:szCs w:val="26"/>
        </w:rPr>
        <w:t>Significativo è il risultato</w:t>
      </w:r>
      <w:r w:rsidR="00287ECD" w:rsidRPr="008E2B66">
        <w:rPr>
          <w:rFonts w:ascii="Garamond" w:hAnsi="Garamond" w:cs="Arial"/>
          <w:sz w:val="26"/>
          <w:szCs w:val="26"/>
        </w:rPr>
        <w:t xml:space="preserve"> </w:t>
      </w:r>
      <w:r w:rsidR="003716BF" w:rsidRPr="008E2B66">
        <w:rPr>
          <w:rFonts w:ascii="Garamond" w:hAnsi="Garamond" w:cs="Arial"/>
          <w:sz w:val="26"/>
          <w:szCs w:val="26"/>
        </w:rPr>
        <w:t>del</w:t>
      </w:r>
      <w:r w:rsidR="003716BF" w:rsidRPr="008E2B66">
        <w:rPr>
          <w:rFonts w:ascii="Garamond" w:hAnsi="Garamond" w:cs="Arial"/>
          <w:i/>
          <w:iCs/>
          <w:sz w:val="26"/>
          <w:szCs w:val="26"/>
        </w:rPr>
        <w:t xml:space="preserve"> trend</w:t>
      </w:r>
      <w:r w:rsidRPr="008E2B66">
        <w:rPr>
          <w:rFonts w:ascii="Garamond" w:hAnsi="Garamond" w:cs="Arial"/>
          <w:sz w:val="26"/>
          <w:szCs w:val="26"/>
        </w:rPr>
        <w:t xml:space="preserve"> </w:t>
      </w:r>
      <w:r w:rsidR="003716BF" w:rsidRPr="008E2B66">
        <w:rPr>
          <w:rFonts w:ascii="Garamond" w:hAnsi="Garamond" w:cs="Arial"/>
          <w:sz w:val="26"/>
          <w:szCs w:val="26"/>
        </w:rPr>
        <w:t xml:space="preserve">sostanzialmente stabile </w:t>
      </w:r>
      <w:r w:rsidRPr="008E2B66">
        <w:rPr>
          <w:rFonts w:ascii="Garamond" w:hAnsi="Garamond" w:cs="Arial"/>
          <w:sz w:val="26"/>
          <w:szCs w:val="26"/>
        </w:rPr>
        <w:t xml:space="preserve">riguardo le modalità di esercizio </w:t>
      </w:r>
      <w:r w:rsidR="003716BF" w:rsidRPr="008E2B66">
        <w:rPr>
          <w:rFonts w:ascii="Garamond" w:hAnsi="Garamond" w:cs="Arial"/>
          <w:sz w:val="26"/>
          <w:szCs w:val="26"/>
        </w:rPr>
        <w:t xml:space="preserve">del diritto di </w:t>
      </w:r>
      <w:r w:rsidRPr="008E2B66">
        <w:rPr>
          <w:rFonts w:ascii="Garamond" w:hAnsi="Garamond" w:cs="Arial"/>
          <w:sz w:val="26"/>
          <w:szCs w:val="26"/>
        </w:rPr>
        <w:t>accesso</w:t>
      </w:r>
      <w:r w:rsidR="00420ECC" w:rsidRPr="008E2B66">
        <w:rPr>
          <w:rFonts w:ascii="Garamond" w:hAnsi="Garamond" w:cs="Arial"/>
          <w:sz w:val="26"/>
          <w:szCs w:val="26"/>
        </w:rPr>
        <w:t xml:space="preserve"> agli atti che attengono principalmente alle seguenti materie</w:t>
      </w:r>
      <w:r w:rsidR="003716BF" w:rsidRPr="008E2B66">
        <w:rPr>
          <w:rFonts w:ascii="Garamond" w:hAnsi="Garamond" w:cs="Arial"/>
          <w:sz w:val="26"/>
          <w:szCs w:val="26"/>
        </w:rPr>
        <w:t>:</w:t>
      </w:r>
    </w:p>
    <w:p w14:paraId="197625F9" w14:textId="7DF3A427" w:rsidR="00420ECC" w:rsidRPr="008E2B66" w:rsidRDefault="00420ECC" w:rsidP="00B8265F">
      <w:pPr>
        <w:pStyle w:val="Paragrafoelenco"/>
        <w:numPr>
          <w:ilvl w:val="0"/>
          <w:numId w:val="12"/>
        </w:numPr>
        <w:autoSpaceDE w:val="0"/>
        <w:autoSpaceDN w:val="0"/>
        <w:adjustRightInd w:val="0"/>
        <w:spacing w:after="80" w:line="276" w:lineRule="auto"/>
        <w:jc w:val="both"/>
        <w:rPr>
          <w:rFonts w:ascii="Garamond" w:hAnsi="Garamond" w:cs="Arial"/>
          <w:sz w:val="26"/>
          <w:szCs w:val="26"/>
        </w:rPr>
      </w:pPr>
      <w:r w:rsidRPr="008E2B66">
        <w:rPr>
          <w:rFonts w:ascii="Garamond" w:hAnsi="Garamond" w:cs="Arial"/>
          <w:sz w:val="26"/>
          <w:szCs w:val="26"/>
        </w:rPr>
        <w:t>concorsi a tempo determinato e indeterminato</w:t>
      </w:r>
      <w:r w:rsidR="00F338BC" w:rsidRPr="008E2B66">
        <w:rPr>
          <w:rFonts w:ascii="Garamond" w:hAnsi="Garamond" w:cs="Arial"/>
          <w:sz w:val="26"/>
          <w:szCs w:val="26"/>
        </w:rPr>
        <w:t>;</w:t>
      </w:r>
    </w:p>
    <w:p w14:paraId="71633E5B" w14:textId="5E40A039" w:rsidR="00420ECC" w:rsidRPr="008E2B66" w:rsidRDefault="00420ECC" w:rsidP="00B8265F">
      <w:pPr>
        <w:pStyle w:val="Paragrafoelenco"/>
        <w:numPr>
          <w:ilvl w:val="0"/>
          <w:numId w:val="12"/>
        </w:numPr>
        <w:autoSpaceDE w:val="0"/>
        <w:autoSpaceDN w:val="0"/>
        <w:adjustRightInd w:val="0"/>
        <w:spacing w:after="80" w:line="276" w:lineRule="auto"/>
        <w:jc w:val="both"/>
        <w:rPr>
          <w:rFonts w:ascii="Garamond" w:hAnsi="Garamond" w:cs="Arial"/>
          <w:sz w:val="26"/>
          <w:szCs w:val="26"/>
        </w:rPr>
      </w:pPr>
      <w:r w:rsidRPr="008E2B66">
        <w:rPr>
          <w:rFonts w:ascii="Garamond" w:hAnsi="Garamond" w:cs="Arial"/>
          <w:sz w:val="26"/>
          <w:szCs w:val="26"/>
        </w:rPr>
        <w:t>progressioni di livello</w:t>
      </w:r>
      <w:r w:rsidR="00F338BC" w:rsidRPr="008E2B66">
        <w:rPr>
          <w:rFonts w:ascii="Garamond" w:hAnsi="Garamond" w:cs="Arial"/>
          <w:sz w:val="26"/>
          <w:szCs w:val="26"/>
        </w:rPr>
        <w:t>;</w:t>
      </w:r>
    </w:p>
    <w:p w14:paraId="21669149" w14:textId="704FA00B" w:rsidR="00420ECC" w:rsidRPr="008E2B66" w:rsidRDefault="00420ECC" w:rsidP="00B8265F">
      <w:pPr>
        <w:pStyle w:val="Paragrafoelenco"/>
        <w:numPr>
          <w:ilvl w:val="0"/>
          <w:numId w:val="12"/>
        </w:numPr>
        <w:autoSpaceDE w:val="0"/>
        <w:autoSpaceDN w:val="0"/>
        <w:adjustRightInd w:val="0"/>
        <w:spacing w:after="80" w:line="276" w:lineRule="auto"/>
        <w:jc w:val="both"/>
        <w:rPr>
          <w:rFonts w:ascii="Garamond" w:hAnsi="Garamond" w:cs="Arial"/>
          <w:sz w:val="26"/>
          <w:szCs w:val="26"/>
        </w:rPr>
      </w:pPr>
      <w:r w:rsidRPr="008E2B66">
        <w:rPr>
          <w:rFonts w:ascii="Garamond" w:hAnsi="Garamond" w:cs="Arial"/>
          <w:sz w:val="26"/>
          <w:szCs w:val="26"/>
        </w:rPr>
        <w:t>borse di studio, assegni di ricerca</w:t>
      </w:r>
      <w:r w:rsidR="00F338BC" w:rsidRPr="008E2B66">
        <w:rPr>
          <w:rFonts w:ascii="Garamond" w:hAnsi="Garamond" w:cs="Arial"/>
          <w:sz w:val="26"/>
          <w:szCs w:val="26"/>
        </w:rPr>
        <w:t>;</w:t>
      </w:r>
    </w:p>
    <w:p w14:paraId="35EF034F" w14:textId="4CCB4363" w:rsidR="00F338BC" w:rsidRPr="008E2B66" w:rsidRDefault="00F338BC" w:rsidP="00B8265F">
      <w:pPr>
        <w:pStyle w:val="Paragrafoelenco"/>
        <w:numPr>
          <w:ilvl w:val="0"/>
          <w:numId w:val="12"/>
        </w:numPr>
        <w:autoSpaceDE w:val="0"/>
        <w:autoSpaceDN w:val="0"/>
        <w:adjustRightInd w:val="0"/>
        <w:spacing w:after="80" w:line="276" w:lineRule="auto"/>
        <w:jc w:val="both"/>
        <w:rPr>
          <w:rFonts w:ascii="Garamond" w:hAnsi="Garamond" w:cs="Arial"/>
          <w:sz w:val="26"/>
          <w:szCs w:val="26"/>
        </w:rPr>
      </w:pPr>
      <w:r w:rsidRPr="008E2B66">
        <w:rPr>
          <w:rFonts w:ascii="Garamond" w:hAnsi="Garamond" w:cs="Arial"/>
          <w:sz w:val="26"/>
          <w:szCs w:val="26"/>
        </w:rPr>
        <w:t xml:space="preserve">concessioni benefici </w:t>
      </w:r>
      <w:r w:rsidR="00817AF5" w:rsidRPr="008E2B66">
        <w:rPr>
          <w:rFonts w:ascii="Garamond" w:hAnsi="Garamond" w:cs="Arial"/>
          <w:sz w:val="26"/>
          <w:szCs w:val="26"/>
        </w:rPr>
        <w:t>socioassistenziali</w:t>
      </w:r>
      <w:r w:rsidRPr="008E2B66">
        <w:rPr>
          <w:rFonts w:ascii="Garamond" w:hAnsi="Garamond" w:cs="Arial"/>
          <w:sz w:val="26"/>
          <w:szCs w:val="26"/>
        </w:rPr>
        <w:t xml:space="preserve"> ai dipendenti;</w:t>
      </w:r>
    </w:p>
    <w:p w14:paraId="717B9313" w14:textId="39BBB112" w:rsidR="00420ECC" w:rsidRPr="008E2B66" w:rsidRDefault="00420ECC" w:rsidP="00B8265F">
      <w:pPr>
        <w:pStyle w:val="Paragrafoelenco"/>
        <w:numPr>
          <w:ilvl w:val="0"/>
          <w:numId w:val="12"/>
        </w:numPr>
        <w:autoSpaceDE w:val="0"/>
        <w:autoSpaceDN w:val="0"/>
        <w:adjustRightInd w:val="0"/>
        <w:spacing w:after="80" w:line="276" w:lineRule="auto"/>
        <w:jc w:val="both"/>
        <w:rPr>
          <w:rFonts w:ascii="Garamond" w:hAnsi="Garamond" w:cs="Arial"/>
          <w:sz w:val="26"/>
          <w:szCs w:val="26"/>
        </w:rPr>
      </w:pPr>
      <w:r w:rsidRPr="008E2B66">
        <w:rPr>
          <w:rFonts w:ascii="Garamond" w:hAnsi="Garamond" w:cs="Arial"/>
          <w:sz w:val="26"/>
          <w:szCs w:val="26"/>
        </w:rPr>
        <w:t>campagne agrarie e certificazioni di sementi</w:t>
      </w:r>
      <w:r w:rsidR="00F338BC" w:rsidRPr="008E2B66">
        <w:rPr>
          <w:rFonts w:ascii="Garamond" w:hAnsi="Garamond" w:cs="Arial"/>
          <w:sz w:val="26"/>
          <w:szCs w:val="26"/>
        </w:rPr>
        <w:t>;</w:t>
      </w:r>
    </w:p>
    <w:p w14:paraId="4451E378" w14:textId="7084C8BE" w:rsidR="00420ECC" w:rsidRPr="008E2B66" w:rsidRDefault="00420ECC" w:rsidP="00B8265F">
      <w:pPr>
        <w:pStyle w:val="Paragrafoelenco"/>
        <w:numPr>
          <w:ilvl w:val="0"/>
          <w:numId w:val="12"/>
        </w:numPr>
        <w:autoSpaceDE w:val="0"/>
        <w:autoSpaceDN w:val="0"/>
        <w:adjustRightInd w:val="0"/>
        <w:spacing w:after="80" w:line="276" w:lineRule="auto"/>
        <w:jc w:val="both"/>
        <w:rPr>
          <w:rFonts w:ascii="Garamond" w:hAnsi="Garamond" w:cs="Arial"/>
          <w:sz w:val="26"/>
          <w:szCs w:val="26"/>
        </w:rPr>
      </w:pPr>
      <w:r w:rsidRPr="008E2B66">
        <w:rPr>
          <w:rFonts w:ascii="Garamond" w:hAnsi="Garamond" w:cs="Arial"/>
          <w:sz w:val="26"/>
          <w:szCs w:val="26"/>
        </w:rPr>
        <w:t>altro</w:t>
      </w:r>
      <w:r w:rsidR="00F338BC" w:rsidRPr="008E2B66">
        <w:rPr>
          <w:rFonts w:ascii="Garamond" w:hAnsi="Garamond" w:cs="Arial"/>
          <w:sz w:val="26"/>
          <w:szCs w:val="26"/>
        </w:rPr>
        <w:t>.</w:t>
      </w:r>
    </w:p>
    <w:sectPr w:rsidR="00420ECC" w:rsidRPr="008E2B66" w:rsidSect="006C0949">
      <w:headerReference w:type="even" r:id="rId25"/>
      <w:headerReference w:type="default" r:id="rId26"/>
      <w:footerReference w:type="even" r:id="rId27"/>
      <w:footerReference w:type="default" r:id="rId28"/>
      <w:headerReference w:type="first" r:id="rId29"/>
      <w:footerReference w:type="first" r:id="rId30"/>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3EE1E4" w14:textId="77777777" w:rsidR="008A41C4" w:rsidRDefault="008A41C4" w:rsidP="005B4421">
      <w:r>
        <w:separator/>
      </w:r>
    </w:p>
  </w:endnote>
  <w:endnote w:type="continuationSeparator" w:id="0">
    <w:p w14:paraId="2105D87A" w14:textId="77777777" w:rsidR="008A41C4" w:rsidRDefault="008A41C4" w:rsidP="005B4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EBGaramond-Regular">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21FB5" w14:textId="77777777" w:rsidR="006C0949" w:rsidRDefault="006C094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5649167"/>
      <w:docPartObj>
        <w:docPartGallery w:val="Page Numbers (Bottom of Page)"/>
        <w:docPartUnique/>
      </w:docPartObj>
    </w:sdtPr>
    <w:sdtEndPr/>
    <w:sdtContent>
      <w:p w14:paraId="525524E4" w14:textId="347DBA81" w:rsidR="00A569A1" w:rsidRDefault="00A569A1">
        <w:pPr>
          <w:pStyle w:val="Pidipagina"/>
          <w:jc w:val="center"/>
        </w:pPr>
        <w:r>
          <w:fldChar w:fldCharType="begin"/>
        </w:r>
        <w:r>
          <w:instrText>PAGE   \* MERGEFORMAT</w:instrText>
        </w:r>
        <w:r>
          <w:fldChar w:fldCharType="separate"/>
        </w:r>
        <w:r>
          <w:t>2</w:t>
        </w:r>
        <w:r>
          <w:fldChar w:fldCharType="end"/>
        </w:r>
      </w:p>
    </w:sdtContent>
  </w:sdt>
  <w:p w14:paraId="7E806080" w14:textId="77777777" w:rsidR="00915A59" w:rsidRDefault="00915A59">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F6C416" w14:textId="77777777" w:rsidR="00B42EBB" w:rsidRDefault="00B42EBB" w:rsidP="00B42EBB">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3D9729" w14:textId="77777777" w:rsidR="008A41C4" w:rsidRDefault="008A41C4" w:rsidP="005B4421">
      <w:r>
        <w:separator/>
      </w:r>
    </w:p>
  </w:footnote>
  <w:footnote w:type="continuationSeparator" w:id="0">
    <w:p w14:paraId="0A410E00" w14:textId="77777777" w:rsidR="008A41C4" w:rsidRDefault="008A41C4" w:rsidP="005B4421">
      <w:r>
        <w:continuationSeparator/>
      </w:r>
    </w:p>
  </w:footnote>
  <w:footnote w:id="1">
    <w:p w14:paraId="200AA8B8" w14:textId="77777777" w:rsidR="00FB1853" w:rsidRDefault="00FB1853" w:rsidP="00FB1853">
      <w:pPr>
        <w:pStyle w:val="Testonotaapidipagina"/>
      </w:pPr>
      <w:r>
        <w:rPr>
          <w:rStyle w:val="Rimandonotaapidipagina"/>
        </w:rPr>
        <w:footnoteRef/>
      </w:r>
      <w:r>
        <w:t xml:space="preserve"> </w:t>
      </w:r>
      <w:r w:rsidRPr="00886E71">
        <w:rPr>
          <w:rFonts w:ascii="Arial" w:hAnsi="Arial" w:cs="Arial"/>
          <w:sz w:val="16"/>
          <w:szCs w:val="16"/>
        </w:rPr>
        <w:t xml:space="preserve">Relazione </w:t>
      </w:r>
      <w:r>
        <w:rPr>
          <w:rFonts w:ascii="Arial" w:hAnsi="Arial" w:cs="Arial"/>
          <w:sz w:val="16"/>
          <w:szCs w:val="16"/>
        </w:rPr>
        <w:t>p</w:t>
      </w:r>
      <w:r w:rsidRPr="00886E71">
        <w:rPr>
          <w:rFonts w:ascii="Arial" w:hAnsi="Arial" w:cs="Arial"/>
          <w:sz w:val="16"/>
          <w:szCs w:val="16"/>
        </w:rPr>
        <w:t xml:space="preserve">rogrammatica CREA </w:t>
      </w:r>
      <w:r>
        <w:rPr>
          <w:rFonts w:ascii="Arial" w:hAnsi="Arial" w:cs="Arial"/>
          <w:sz w:val="16"/>
          <w:szCs w:val="16"/>
        </w:rPr>
        <w:t>a</w:t>
      </w:r>
      <w:r w:rsidRPr="00886E71">
        <w:rPr>
          <w:rFonts w:ascii="Arial" w:hAnsi="Arial" w:cs="Arial"/>
          <w:sz w:val="16"/>
          <w:szCs w:val="16"/>
        </w:rPr>
        <w:t>nno 2025.</w:t>
      </w:r>
    </w:p>
  </w:footnote>
  <w:footnote w:id="2">
    <w:p w14:paraId="53C3188E" w14:textId="77777777" w:rsidR="00FB6989" w:rsidRPr="00F01F8A" w:rsidRDefault="00FB6989" w:rsidP="00FB6989">
      <w:pPr>
        <w:pStyle w:val="Testonotaapidipagina"/>
        <w:jc w:val="both"/>
        <w:rPr>
          <w:rFonts w:ascii="Garamond" w:eastAsia="Aptos" w:hAnsi="Garamond" w:cs="Arial"/>
          <w:kern w:val="2"/>
          <w:sz w:val="16"/>
          <w:szCs w:val="16"/>
          <w14:ligatures w14:val="standardContextual"/>
        </w:rPr>
      </w:pPr>
      <w:r w:rsidRPr="00F01F8A">
        <w:rPr>
          <w:rStyle w:val="Rimandonotaapidipagina"/>
          <w:rFonts w:ascii="Garamond" w:hAnsi="Garamond" w:cs="Arial"/>
          <w:sz w:val="16"/>
          <w:szCs w:val="16"/>
        </w:rPr>
        <w:footnoteRef/>
      </w:r>
      <w:r w:rsidRPr="00F01F8A">
        <w:rPr>
          <w:rFonts w:ascii="Garamond" w:hAnsi="Garamond" w:cs="Arial"/>
          <w:sz w:val="16"/>
          <w:szCs w:val="16"/>
        </w:rPr>
        <w:t xml:space="preserve"> Il D.lgs. n. 159/2011 è rubricato </w:t>
      </w:r>
      <w:r w:rsidRPr="00F01F8A">
        <w:rPr>
          <w:rFonts w:ascii="Garamond" w:hAnsi="Garamond" w:cs="Arial"/>
          <w:i/>
          <w:iCs/>
          <w:sz w:val="16"/>
          <w:szCs w:val="16"/>
        </w:rPr>
        <w:t>“</w:t>
      </w:r>
      <w:r w:rsidRPr="00F01F8A">
        <w:rPr>
          <w:rFonts w:ascii="Garamond" w:eastAsia="Aptos" w:hAnsi="Garamond" w:cs="Arial"/>
          <w:i/>
          <w:iCs/>
          <w:kern w:val="2"/>
          <w:sz w:val="16"/>
          <w:szCs w:val="16"/>
          <w14:ligatures w14:val="standardContextual"/>
        </w:rPr>
        <w:t>Codice delle leggi antimafia e delle misure di prevenzione, nonché nuove disposizioni in materia di documentazione antimafia, a norma degli articoli 1 e 2 della legge 13 agosto 2010, n. 136</w:t>
      </w:r>
      <w:r w:rsidRPr="00F01F8A">
        <w:rPr>
          <w:rFonts w:ascii="Garamond" w:eastAsia="Aptos" w:hAnsi="Garamond" w:cs="Arial"/>
          <w:kern w:val="2"/>
          <w:sz w:val="16"/>
          <w:szCs w:val="16"/>
          <w14:ligatures w14:val="standardContextual"/>
        </w:rPr>
        <w:t xml:space="preserve">”. </w:t>
      </w:r>
    </w:p>
    <w:p w14:paraId="7E91EA5B" w14:textId="77777777" w:rsidR="00FB6989" w:rsidRPr="00F01F8A" w:rsidRDefault="00FB6989" w:rsidP="00FB6989">
      <w:pPr>
        <w:pStyle w:val="Testonotaapidipagina"/>
        <w:jc w:val="both"/>
        <w:rPr>
          <w:rFonts w:ascii="Garamond" w:eastAsia="Aptos" w:hAnsi="Garamond" w:cs="Arial"/>
          <w:kern w:val="2"/>
          <w:sz w:val="16"/>
          <w:szCs w:val="16"/>
          <w14:ligatures w14:val="standardContextual"/>
        </w:rPr>
      </w:pPr>
      <w:r w:rsidRPr="00F01F8A">
        <w:rPr>
          <w:rFonts w:ascii="Garamond" w:eastAsia="Aptos" w:hAnsi="Garamond" w:cs="Arial"/>
          <w:kern w:val="2"/>
          <w:sz w:val="16"/>
          <w:szCs w:val="16"/>
          <w14:ligatures w14:val="standardContextual"/>
        </w:rPr>
        <w:t>L’Art. 83, co. 1, del D.lgs. n. 159/2011 dispone: “Le pubbliche amministrazioni e gli enti pubblici, anche costituiti in stazioni uniche appaltanti, gli enti e le aziende vigilati dallo Stato o da altro ente pubblico e le società o imprese comunque controllate dallo Stato o da altro ente pubblico nonché i concessionari di lavori o di servizi pubblici, devono acquisire la documentazione antimafia di cui all'articolo 84 prima di stipulare, approvare o autorizzare i contratti e subcontratti relativi a lavori, servizi e forniture pubblici, ovvero prima di rilasciare o consentire i provvedimenti indicati nell'articolo 67</w:t>
      </w:r>
    </w:p>
  </w:footnote>
  <w:footnote w:id="3">
    <w:p w14:paraId="3ED89F0B" w14:textId="77777777" w:rsidR="00FB6989" w:rsidRPr="00F01F8A" w:rsidRDefault="00FB6989" w:rsidP="00FB6989">
      <w:pPr>
        <w:jc w:val="both"/>
        <w:rPr>
          <w:rFonts w:ascii="Garamond" w:eastAsia="Aptos" w:hAnsi="Garamond" w:cs="Arial"/>
          <w:i/>
          <w:iCs/>
          <w:kern w:val="2"/>
          <w:sz w:val="16"/>
          <w:szCs w:val="16"/>
          <w14:ligatures w14:val="standardContextual"/>
        </w:rPr>
      </w:pPr>
      <w:r w:rsidRPr="00F01F8A">
        <w:rPr>
          <w:rStyle w:val="Rimandonotaapidipagina"/>
          <w:rFonts w:ascii="Garamond" w:hAnsi="Garamond" w:cs="Arial"/>
          <w:sz w:val="16"/>
          <w:szCs w:val="16"/>
        </w:rPr>
        <w:footnoteRef/>
      </w:r>
      <w:r w:rsidRPr="00F01F8A">
        <w:rPr>
          <w:rFonts w:ascii="Garamond" w:hAnsi="Garamond" w:cs="Arial"/>
          <w:sz w:val="16"/>
          <w:szCs w:val="16"/>
        </w:rPr>
        <w:t xml:space="preserve"> </w:t>
      </w:r>
      <w:r w:rsidRPr="00F01F8A">
        <w:rPr>
          <w:rFonts w:ascii="Garamond" w:eastAsia="Aptos" w:hAnsi="Garamond" w:cs="Arial"/>
          <w:kern w:val="2"/>
          <w:sz w:val="16"/>
          <w:szCs w:val="16"/>
          <w14:ligatures w14:val="standardContextual"/>
        </w:rPr>
        <w:t>Art. 1, co. 53, legge 190/2012</w:t>
      </w:r>
      <w:r w:rsidRPr="00F01F8A">
        <w:rPr>
          <w:rFonts w:ascii="Garamond" w:eastAsia="Aptos" w:hAnsi="Garamond" w:cs="Arial"/>
          <w:i/>
          <w:iCs/>
          <w:kern w:val="2"/>
          <w:sz w:val="16"/>
          <w:szCs w:val="16"/>
          <w14:ligatures w14:val="standardContextual"/>
        </w:rPr>
        <w:t xml:space="preserve">: «Sono definite come maggiormente esposte a rischio di infiltrazione mafiosa le seguenti attività: </w:t>
      </w:r>
    </w:p>
    <w:p w14:paraId="175A37C0" w14:textId="77777777" w:rsidR="00FB6989" w:rsidRPr="00F01F8A" w:rsidRDefault="00FB6989" w:rsidP="00FB6989">
      <w:pPr>
        <w:jc w:val="both"/>
        <w:rPr>
          <w:rFonts w:ascii="Garamond" w:eastAsia="Aptos" w:hAnsi="Garamond" w:cs="Arial"/>
          <w:i/>
          <w:iCs/>
          <w:kern w:val="2"/>
          <w:sz w:val="16"/>
          <w:szCs w:val="16"/>
          <w14:ligatures w14:val="standardContextual"/>
        </w:rPr>
      </w:pPr>
      <w:r w:rsidRPr="00F01F8A">
        <w:rPr>
          <w:rFonts w:ascii="Garamond" w:eastAsia="Aptos" w:hAnsi="Garamond" w:cs="Arial"/>
          <w:i/>
          <w:iCs/>
          <w:kern w:val="2"/>
          <w:sz w:val="16"/>
          <w:szCs w:val="16"/>
          <w14:ligatures w14:val="standardContextual"/>
        </w:rPr>
        <w:t>a) lettera abrogata dal D.L. 8 aprile 2020, n. 23, convertito con modificazioni dalla l. 5 giugno 2020, n. 40;</w:t>
      </w:r>
    </w:p>
    <w:p w14:paraId="7B19708D" w14:textId="77777777" w:rsidR="00FB6989" w:rsidRPr="00F01F8A" w:rsidRDefault="00FB6989" w:rsidP="00FB6989">
      <w:pPr>
        <w:jc w:val="both"/>
        <w:rPr>
          <w:rFonts w:ascii="Garamond" w:eastAsia="Aptos" w:hAnsi="Garamond" w:cs="Arial"/>
          <w:i/>
          <w:iCs/>
          <w:kern w:val="2"/>
          <w:sz w:val="16"/>
          <w:szCs w:val="16"/>
          <w14:ligatures w14:val="standardContextual"/>
        </w:rPr>
      </w:pPr>
      <w:r w:rsidRPr="00F01F8A">
        <w:rPr>
          <w:rFonts w:ascii="Garamond" w:eastAsia="Aptos" w:hAnsi="Garamond" w:cs="Arial"/>
          <w:i/>
          <w:iCs/>
          <w:kern w:val="2"/>
          <w:sz w:val="16"/>
          <w:szCs w:val="16"/>
          <w14:ligatures w14:val="standardContextual"/>
        </w:rPr>
        <w:t>b) lettera abrogata dal D.L. 8 aprile 2020, n. 23, convertito con modificazioni dalla l. 5 giugno 2020, n. 40;</w:t>
      </w:r>
    </w:p>
    <w:p w14:paraId="19FFCD15" w14:textId="77777777" w:rsidR="00FB6989" w:rsidRPr="00F01F8A" w:rsidRDefault="00FB6989" w:rsidP="00FB6989">
      <w:pPr>
        <w:jc w:val="both"/>
        <w:rPr>
          <w:rFonts w:ascii="Garamond" w:eastAsia="Aptos" w:hAnsi="Garamond" w:cs="Arial"/>
          <w:i/>
          <w:iCs/>
          <w:kern w:val="2"/>
          <w:sz w:val="16"/>
          <w:szCs w:val="16"/>
          <w14:ligatures w14:val="standardContextual"/>
        </w:rPr>
      </w:pPr>
      <w:r w:rsidRPr="00F01F8A">
        <w:rPr>
          <w:rFonts w:ascii="Garamond" w:eastAsia="Aptos" w:hAnsi="Garamond" w:cs="Arial"/>
          <w:i/>
          <w:iCs/>
          <w:kern w:val="2"/>
          <w:sz w:val="16"/>
          <w:szCs w:val="16"/>
          <w14:ligatures w14:val="standardContextual"/>
        </w:rPr>
        <w:t>c) estrazione, fornitura e trasporto di terra e materiali inerti;</w:t>
      </w:r>
    </w:p>
    <w:p w14:paraId="056B5BD9" w14:textId="77777777" w:rsidR="00FB6989" w:rsidRPr="00BD2F19" w:rsidRDefault="00FB6989" w:rsidP="00FB6989">
      <w:pPr>
        <w:jc w:val="both"/>
        <w:rPr>
          <w:rFonts w:ascii="Garamond" w:eastAsia="Aptos" w:hAnsi="Garamond" w:cs="Arial"/>
          <w:i/>
          <w:iCs/>
          <w:kern w:val="2"/>
          <w:sz w:val="16"/>
          <w:szCs w:val="16"/>
          <w14:ligatures w14:val="standardContextual"/>
        </w:rPr>
      </w:pPr>
      <w:r w:rsidRPr="00BD2F19">
        <w:rPr>
          <w:rFonts w:ascii="Garamond" w:eastAsia="Aptos" w:hAnsi="Garamond" w:cs="Arial"/>
          <w:i/>
          <w:iCs/>
          <w:kern w:val="2"/>
          <w:sz w:val="16"/>
          <w:szCs w:val="16"/>
          <w14:ligatures w14:val="standardContextual"/>
        </w:rPr>
        <w:t>d) confezionamento, fornitura e trasporto di calcestruzzo e di bitume;</w:t>
      </w:r>
    </w:p>
    <w:p w14:paraId="02AF56AC" w14:textId="77777777" w:rsidR="00FB6989" w:rsidRPr="00BD2F19" w:rsidRDefault="00FB6989" w:rsidP="00FB6989">
      <w:pPr>
        <w:jc w:val="both"/>
        <w:rPr>
          <w:rFonts w:ascii="Garamond" w:eastAsia="Aptos" w:hAnsi="Garamond" w:cs="Arial"/>
          <w:i/>
          <w:iCs/>
          <w:kern w:val="2"/>
          <w:sz w:val="16"/>
          <w:szCs w:val="16"/>
          <w14:ligatures w14:val="standardContextual"/>
        </w:rPr>
      </w:pPr>
      <w:r w:rsidRPr="00BD2F19">
        <w:rPr>
          <w:rFonts w:ascii="Garamond" w:eastAsia="Aptos" w:hAnsi="Garamond" w:cs="Arial"/>
          <w:i/>
          <w:iCs/>
          <w:kern w:val="2"/>
          <w:sz w:val="16"/>
          <w:szCs w:val="16"/>
          <w14:ligatures w14:val="standardContextual"/>
        </w:rPr>
        <w:t>e) noli a freddo di macchinari;</w:t>
      </w:r>
    </w:p>
    <w:p w14:paraId="1B9CB8DD" w14:textId="77777777" w:rsidR="00FB6989" w:rsidRPr="00BD2F19" w:rsidRDefault="00FB6989" w:rsidP="00FB6989">
      <w:pPr>
        <w:jc w:val="both"/>
        <w:rPr>
          <w:rFonts w:ascii="Garamond" w:eastAsia="Aptos" w:hAnsi="Garamond" w:cs="Arial"/>
          <w:i/>
          <w:iCs/>
          <w:kern w:val="2"/>
          <w:sz w:val="16"/>
          <w:szCs w:val="16"/>
          <w14:ligatures w14:val="standardContextual"/>
        </w:rPr>
      </w:pPr>
      <w:r w:rsidRPr="00BD2F19">
        <w:rPr>
          <w:rFonts w:ascii="Garamond" w:eastAsia="Aptos" w:hAnsi="Garamond" w:cs="Arial"/>
          <w:i/>
          <w:iCs/>
          <w:kern w:val="2"/>
          <w:sz w:val="16"/>
          <w:szCs w:val="16"/>
          <w14:ligatures w14:val="standardContextual"/>
        </w:rPr>
        <w:t>f) fornitura di ferro lavorato;</w:t>
      </w:r>
    </w:p>
    <w:p w14:paraId="666CA87D" w14:textId="77777777" w:rsidR="00FB6989" w:rsidRPr="00BD2F19" w:rsidRDefault="00FB6989" w:rsidP="00FB6989">
      <w:pPr>
        <w:jc w:val="both"/>
        <w:rPr>
          <w:rFonts w:ascii="Garamond" w:eastAsia="Aptos" w:hAnsi="Garamond" w:cs="Arial"/>
          <w:i/>
          <w:iCs/>
          <w:kern w:val="2"/>
          <w:sz w:val="16"/>
          <w:szCs w:val="16"/>
          <w14:ligatures w14:val="standardContextual"/>
        </w:rPr>
      </w:pPr>
      <w:r w:rsidRPr="00BD2F19">
        <w:rPr>
          <w:rFonts w:ascii="Garamond" w:eastAsia="Aptos" w:hAnsi="Garamond" w:cs="Arial"/>
          <w:i/>
          <w:iCs/>
          <w:kern w:val="2"/>
          <w:sz w:val="16"/>
          <w:szCs w:val="16"/>
          <w14:ligatures w14:val="standardContextual"/>
        </w:rPr>
        <w:t>g) noli a caldo;</w:t>
      </w:r>
    </w:p>
    <w:p w14:paraId="7188A8B6" w14:textId="77777777" w:rsidR="00FB6989" w:rsidRPr="00BD2F19" w:rsidRDefault="00FB6989" w:rsidP="00FB6989">
      <w:pPr>
        <w:jc w:val="both"/>
        <w:rPr>
          <w:rFonts w:ascii="Garamond" w:eastAsia="Aptos" w:hAnsi="Garamond" w:cs="Arial"/>
          <w:i/>
          <w:iCs/>
          <w:kern w:val="2"/>
          <w:sz w:val="16"/>
          <w:szCs w:val="16"/>
          <w14:ligatures w14:val="standardContextual"/>
        </w:rPr>
      </w:pPr>
      <w:r w:rsidRPr="00BD2F19">
        <w:rPr>
          <w:rFonts w:ascii="Garamond" w:eastAsia="Aptos" w:hAnsi="Garamond" w:cs="Arial"/>
          <w:i/>
          <w:iCs/>
          <w:kern w:val="2"/>
          <w:sz w:val="16"/>
          <w:szCs w:val="16"/>
          <w14:ligatures w14:val="standardContextual"/>
        </w:rPr>
        <w:t>h) autotrasporti per conto di terzi;</w:t>
      </w:r>
    </w:p>
    <w:p w14:paraId="22BD3E23" w14:textId="77777777" w:rsidR="00FB6989" w:rsidRPr="00BD2F19" w:rsidRDefault="00FB6989" w:rsidP="00FB6989">
      <w:pPr>
        <w:jc w:val="both"/>
        <w:rPr>
          <w:rFonts w:ascii="Garamond" w:eastAsia="Aptos" w:hAnsi="Garamond" w:cs="Arial"/>
          <w:i/>
          <w:iCs/>
          <w:kern w:val="2"/>
          <w:sz w:val="16"/>
          <w:szCs w:val="16"/>
          <w14:ligatures w14:val="standardContextual"/>
        </w:rPr>
      </w:pPr>
      <w:r w:rsidRPr="00BD2F19">
        <w:rPr>
          <w:rFonts w:ascii="Garamond" w:eastAsia="Aptos" w:hAnsi="Garamond" w:cs="Arial"/>
          <w:i/>
          <w:iCs/>
          <w:kern w:val="2"/>
          <w:sz w:val="16"/>
          <w:szCs w:val="16"/>
          <w14:ligatures w14:val="standardContextual"/>
        </w:rPr>
        <w:t>i) guardiania dei cantieri.</w:t>
      </w:r>
    </w:p>
    <w:p w14:paraId="51058D78" w14:textId="77777777" w:rsidR="00FB6989" w:rsidRPr="00D905C0" w:rsidRDefault="00FB6989" w:rsidP="00FB6989">
      <w:pPr>
        <w:jc w:val="both"/>
        <w:rPr>
          <w:rFonts w:ascii="Arial" w:eastAsia="Aptos" w:hAnsi="Arial" w:cs="Arial"/>
          <w:i/>
          <w:iCs/>
          <w:kern w:val="2"/>
          <w:sz w:val="16"/>
          <w:szCs w:val="16"/>
          <w14:ligatures w14:val="standardContextual"/>
        </w:rPr>
      </w:pPr>
      <w:r w:rsidRPr="00D905C0">
        <w:rPr>
          <w:rFonts w:ascii="Arial" w:eastAsia="Aptos" w:hAnsi="Arial" w:cs="Arial"/>
          <w:i/>
          <w:iCs/>
          <w:kern w:val="2"/>
          <w:sz w:val="16"/>
          <w:szCs w:val="16"/>
          <w14:ligatures w14:val="standardContextual"/>
        </w:rPr>
        <w:t>i-bis) servizi funerari e cimiteriali;</w:t>
      </w:r>
    </w:p>
    <w:p w14:paraId="5D111CBE" w14:textId="77777777" w:rsidR="00FB6989" w:rsidRPr="00D905C0" w:rsidRDefault="00FB6989" w:rsidP="00FB6989">
      <w:pPr>
        <w:jc w:val="both"/>
        <w:rPr>
          <w:rFonts w:ascii="Arial" w:eastAsia="Aptos" w:hAnsi="Arial" w:cs="Arial"/>
          <w:i/>
          <w:iCs/>
          <w:kern w:val="2"/>
          <w:sz w:val="16"/>
          <w:szCs w:val="16"/>
          <w14:ligatures w14:val="standardContextual"/>
        </w:rPr>
      </w:pPr>
      <w:r w:rsidRPr="00D905C0">
        <w:rPr>
          <w:rFonts w:ascii="Arial" w:eastAsia="Aptos" w:hAnsi="Arial" w:cs="Arial"/>
          <w:i/>
          <w:iCs/>
          <w:kern w:val="2"/>
          <w:sz w:val="16"/>
          <w:szCs w:val="16"/>
          <w14:ligatures w14:val="standardContextual"/>
        </w:rPr>
        <w:t>i-ter) ristorazione, gestione delle mense e catering;</w:t>
      </w:r>
    </w:p>
    <w:p w14:paraId="7488914B" w14:textId="77777777" w:rsidR="00FB6989" w:rsidRPr="00BF3104" w:rsidRDefault="00FB6989" w:rsidP="00FB6989">
      <w:pPr>
        <w:jc w:val="both"/>
        <w:rPr>
          <w:rFonts w:ascii="Arial" w:eastAsia="Aptos" w:hAnsi="Arial" w:cs="Arial"/>
          <w:i/>
          <w:iCs/>
          <w:kern w:val="2"/>
          <w:sz w:val="16"/>
          <w:szCs w:val="16"/>
          <w14:ligatures w14:val="standardContextual"/>
        </w:rPr>
      </w:pPr>
      <w:r w:rsidRPr="00D905C0">
        <w:rPr>
          <w:rFonts w:ascii="Arial" w:eastAsia="Aptos" w:hAnsi="Arial" w:cs="Arial"/>
          <w:i/>
          <w:iCs/>
          <w:kern w:val="2"/>
          <w:sz w:val="16"/>
          <w:szCs w:val="16"/>
          <w14:ligatures w14:val="standardContextual"/>
        </w:rPr>
        <w:t>i-quater) servizi ambientali, comprese le attività di raccolta, di trasporto nazionale e transfrontaliero, anche per conto di terzi, di trattamento e di smaltimento dei rifiuti, nonché le attività di risanamento e di bonifica e gli altri servizi connessi alla gestione dei rifiuti».</w:t>
      </w:r>
    </w:p>
  </w:footnote>
  <w:footnote w:id="4">
    <w:p w14:paraId="7BFFD35A" w14:textId="1E0977BF" w:rsidR="001E1E76" w:rsidRPr="00752364" w:rsidRDefault="001E1E76">
      <w:pPr>
        <w:pStyle w:val="Testonotaapidipagina"/>
        <w:rPr>
          <w:rFonts w:ascii="Arial" w:hAnsi="Arial" w:cs="Arial"/>
          <w:sz w:val="16"/>
          <w:szCs w:val="16"/>
        </w:rPr>
      </w:pPr>
      <w:r w:rsidRPr="00752364">
        <w:rPr>
          <w:rStyle w:val="Rimandonotaapidipagina"/>
          <w:rFonts w:ascii="Arial" w:hAnsi="Arial" w:cs="Arial"/>
          <w:sz w:val="16"/>
          <w:szCs w:val="16"/>
        </w:rPr>
        <w:footnoteRef/>
      </w:r>
      <w:r w:rsidRPr="00752364">
        <w:rPr>
          <w:rFonts w:ascii="Arial" w:hAnsi="Arial" w:cs="Arial"/>
          <w:sz w:val="16"/>
          <w:szCs w:val="16"/>
        </w:rPr>
        <w:t xml:space="preserve"> </w:t>
      </w:r>
      <w:r w:rsidRPr="00752364">
        <w:rPr>
          <w:rFonts w:ascii="Arial" w:eastAsia="Aptos" w:hAnsi="Arial" w:cs="Arial"/>
          <w:kern w:val="2"/>
          <w:sz w:val="16"/>
          <w:szCs w:val="16"/>
          <w14:ligatures w14:val="standardContextual"/>
        </w:rPr>
        <w:t>Si veda PNA 2022, parte generale, paragrafo 3.1.2 L’analisi del contesto esterno e interno. La mappatura dei processi.</w:t>
      </w:r>
    </w:p>
  </w:footnote>
  <w:footnote w:id="5">
    <w:p w14:paraId="4722414C" w14:textId="6D5C09B9" w:rsidR="00DB52B6" w:rsidRPr="00752364" w:rsidRDefault="00DB52B6" w:rsidP="006617D4">
      <w:pPr>
        <w:pStyle w:val="Testonotaapidipagina"/>
        <w:jc w:val="both"/>
        <w:rPr>
          <w:rFonts w:ascii="Arial" w:hAnsi="Arial" w:cs="Arial"/>
          <w:sz w:val="16"/>
          <w:szCs w:val="16"/>
        </w:rPr>
      </w:pPr>
      <w:r w:rsidRPr="00752364">
        <w:rPr>
          <w:rStyle w:val="Rimandonotaapidipagina"/>
          <w:rFonts w:ascii="Arial" w:hAnsi="Arial" w:cs="Arial"/>
          <w:sz w:val="16"/>
          <w:szCs w:val="16"/>
        </w:rPr>
        <w:footnoteRef/>
      </w:r>
      <w:r w:rsidR="00752364">
        <w:rPr>
          <w:rFonts w:ascii="Arial" w:hAnsi="Arial" w:cs="Arial"/>
          <w:sz w:val="16"/>
          <w:szCs w:val="16"/>
        </w:rPr>
        <w:t xml:space="preserve"> </w:t>
      </w:r>
      <w:r w:rsidRPr="00752364">
        <w:rPr>
          <w:rFonts w:ascii="Arial" w:hAnsi="Arial" w:cs="Arial"/>
          <w:sz w:val="16"/>
          <w:szCs w:val="16"/>
        </w:rPr>
        <w:t>La nota</w:t>
      </w:r>
      <w:r w:rsidRPr="00752364">
        <w:rPr>
          <w:rFonts w:ascii="Arial" w:hAnsi="Arial" w:cs="Arial"/>
          <w:sz w:val="16"/>
          <w:szCs w:val="16"/>
          <w:u w:color="000000"/>
        </w:rPr>
        <w:t xml:space="preserve"> </w:t>
      </w:r>
      <w:r w:rsidRPr="00752364">
        <w:rPr>
          <w:rFonts w:ascii="Arial" w:hAnsi="Arial" w:cs="Arial"/>
          <w:sz w:val="16"/>
          <w:szCs w:val="16"/>
        </w:rPr>
        <w:t xml:space="preserve">prot. n. 85895 del 04.10.2024 e i modelli di comunicazione e dichiarazione </w:t>
      </w:r>
      <w:r w:rsidR="006617D4" w:rsidRPr="00752364">
        <w:rPr>
          <w:rFonts w:ascii="Arial" w:hAnsi="Arial" w:cs="Arial"/>
          <w:sz w:val="16"/>
          <w:szCs w:val="16"/>
        </w:rPr>
        <w:t>sono reperibili anche dal</w:t>
      </w:r>
      <w:r w:rsidRPr="00752364">
        <w:rPr>
          <w:rFonts w:ascii="Arial" w:hAnsi="Arial" w:cs="Arial"/>
          <w:sz w:val="16"/>
          <w:szCs w:val="16"/>
        </w:rPr>
        <w:t xml:space="preserve"> seguente link:</w:t>
      </w:r>
      <w:r w:rsidRPr="00752364">
        <w:rPr>
          <w:rFonts w:ascii="Arial" w:hAnsi="Arial" w:cs="Arial"/>
          <w:sz w:val="16"/>
          <w:szCs w:val="16"/>
          <w:u w:color="000000"/>
        </w:rPr>
        <w:t xml:space="preserve"> </w:t>
      </w:r>
      <w:hyperlink r:id="rId1" w:anchor=":~:text=Codice%20disciplinare%20e%20codice%20di%20condotta" w:history="1">
        <w:r w:rsidRPr="00752364">
          <w:rPr>
            <w:rStyle w:val="Collegamentoipertestuale"/>
            <w:rFonts w:ascii="Arial" w:hAnsi="Arial" w:cs="Arial"/>
            <w:sz w:val="16"/>
            <w:szCs w:val="16"/>
          </w:rPr>
          <w:t>https://www.crea.gov.it/atti-generali#:~:text=Codice%20disciplinare%20e%20codice%20di%20condotta</w:t>
        </w:r>
      </w:hyperlink>
      <w:r w:rsidRPr="00752364">
        <w:rPr>
          <w:rFonts w:ascii="Arial" w:hAnsi="Arial" w:cs="Arial"/>
          <w:sz w:val="16"/>
          <w:szCs w:val="16"/>
          <w:u w:color="000000"/>
        </w:rPr>
        <w:t xml:space="preserve"> </w:t>
      </w:r>
    </w:p>
  </w:footnote>
  <w:footnote w:id="6">
    <w:p w14:paraId="0BEC6276" w14:textId="5DE15DBC" w:rsidR="00B030AE" w:rsidRPr="00752364" w:rsidRDefault="00B030AE" w:rsidP="00B030AE">
      <w:pPr>
        <w:pStyle w:val="Testonotaapidipagina"/>
        <w:jc w:val="both"/>
        <w:rPr>
          <w:rFonts w:ascii="Arial" w:hAnsi="Arial" w:cs="Arial"/>
          <w:strike/>
          <w:sz w:val="16"/>
          <w:szCs w:val="16"/>
        </w:rPr>
      </w:pPr>
      <w:r w:rsidRPr="00752364">
        <w:rPr>
          <w:rStyle w:val="Rimandonotaapidipagina"/>
          <w:rFonts w:ascii="Arial" w:hAnsi="Arial" w:cs="Arial"/>
          <w:sz w:val="16"/>
          <w:szCs w:val="16"/>
        </w:rPr>
        <w:footnoteRef/>
      </w:r>
      <w:r w:rsidRPr="00752364">
        <w:rPr>
          <w:rFonts w:ascii="Arial" w:hAnsi="Arial" w:cs="Arial"/>
          <w:sz w:val="16"/>
          <w:szCs w:val="16"/>
        </w:rPr>
        <w:t xml:space="preserve"> L’art. 6, </w:t>
      </w:r>
      <w:r w:rsidR="00566AE6" w:rsidRPr="00752364">
        <w:rPr>
          <w:rFonts w:ascii="Arial" w:hAnsi="Arial" w:cs="Arial"/>
          <w:sz w:val="16"/>
          <w:szCs w:val="16"/>
        </w:rPr>
        <w:t>DPR</w:t>
      </w:r>
      <w:r w:rsidRPr="00752364">
        <w:rPr>
          <w:rFonts w:ascii="Arial" w:hAnsi="Arial" w:cs="Arial"/>
          <w:sz w:val="16"/>
          <w:szCs w:val="16"/>
        </w:rPr>
        <w:t xml:space="preserve"> n. 62/2013, “Comunicazione degli interessi finanziari e conflitti di interessi”, prevede per il dipendente l’obbligo di comunicare al dirigente, all’atto di assegnazione all’ufficio, rapporti intercorsi negli ultimi tre anni con soggetti privati in qualunque modo retribuiti. La comunicazione del dipendente riguarda anche i rapporti intercorsi o attuali dei parenti o affini entro il secondo grado, del coniuge o del convivente con soggetti privati. Il dipendente è tenuto a specificare, altresì, se i soggetti privati abbiano interessi in attività o decisioni inerenti all’ufficio, con riferimento alle questioni a lui affidate. Il dipendente ha l’obbligo di astensione dallo svolgimento di attività in situazioni di conflitto, anche potenziale, di interessi con interessi personali, del coniuge, di conviventi, di parenti, di affini entro il secondo grado.</w:t>
      </w:r>
    </w:p>
  </w:footnote>
  <w:footnote w:id="7">
    <w:p w14:paraId="1D2DE2B9" w14:textId="0FD1F732" w:rsidR="001F2D3C" w:rsidRPr="00384F1D" w:rsidRDefault="001F2D3C" w:rsidP="001F2D3C">
      <w:pPr>
        <w:pStyle w:val="Testonotaapidipagina"/>
        <w:jc w:val="both"/>
        <w:rPr>
          <w:rFonts w:ascii="Arial" w:hAnsi="Arial" w:cs="Arial"/>
          <w:sz w:val="16"/>
          <w:szCs w:val="16"/>
        </w:rPr>
      </w:pPr>
      <w:r w:rsidRPr="00752364">
        <w:rPr>
          <w:rStyle w:val="Rimandonotaapidipagina"/>
          <w:rFonts w:ascii="Arial" w:hAnsi="Arial" w:cs="Arial"/>
          <w:sz w:val="16"/>
          <w:szCs w:val="16"/>
        </w:rPr>
        <w:footnoteRef/>
      </w:r>
      <w:r w:rsidRPr="00752364">
        <w:rPr>
          <w:rFonts w:ascii="Arial" w:hAnsi="Arial" w:cs="Arial"/>
          <w:sz w:val="16"/>
          <w:szCs w:val="16"/>
        </w:rPr>
        <w:t xml:space="preserve"> Si veda PNA 2022 (delibera ANAC n. 7 del 17 gennaio 2023), parte speciale “Conflitti di interessi in materia di contratti pubblici”, sottoparagrafi 3.1 e 3.2.</w:t>
      </w:r>
    </w:p>
  </w:footnote>
  <w:footnote w:id="8">
    <w:p w14:paraId="40C9B4B8" w14:textId="4846DAA3" w:rsidR="00325080" w:rsidRPr="00384F1D" w:rsidRDefault="00325080" w:rsidP="00325080">
      <w:pPr>
        <w:pStyle w:val="Testonotaapidipagina"/>
        <w:jc w:val="both"/>
        <w:rPr>
          <w:rFonts w:ascii="Arial" w:hAnsi="Arial" w:cs="Arial"/>
          <w:strike/>
          <w:sz w:val="16"/>
          <w:szCs w:val="16"/>
        </w:rPr>
      </w:pPr>
      <w:r w:rsidRPr="00384F1D">
        <w:rPr>
          <w:rStyle w:val="Rimandonotaapidipagina"/>
          <w:rFonts w:ascii="Arial" w:hAnsi="Arial" w:cs="Arial"/>
          <w:sz w:val="16"/>
          <w:szCs w:val="16"/>
        </w:rPr>
        <w:footnoteRef/>
      </w:r>
      <w:r w:rsidRPr="00384F1D">
        <w:rPr>
          <w:rFonts w:ascii="Arial" w:hAnsi="Arial" w:cs="Arial"/>
          <w:sz w:val="16"/>
          <w:szCs w:val="16"/>
        </w:rPr>
        <w:t xml:space="preserve"> Per la nozione di titolare effettivo, i criteri e le indicazioni ai fini dell’individuazione dello stesso si rinvia a quanto stabilito nella normativa in materia di antiriciclaggio di cui al </w:t>
      </w:r>
      <w:r w:rsidR="00566AE6" w:rsidRPr="00384F1D">
        <w:rPr>
          <w:rFonts w:ascii="Arial" w:hAnsi="Arial" w:cs="Arial"/>
          <w:sz w:val="16"/>
          <w:szCs w:val="16"/>
        </w:rPr>
        <w:t>D</w:t>
      </w:r>
      <w:r w:rsidRPr="00384F1D">
        <w:rPr>
          <w:rFonts w:ascii="Arial" w:hAnsi="Arial" w:cs="Arial"/>
          <w:sz w:val="16"/>
          <w:szCs w:val="16"/>
        </w:rPr>
        <w:t xml:space="preserve">.lgs. n. 231/2007 e riportato nelle stesse Linee guida del MEF. </w:t>
      </w:r>
    </w:p>
  </w:footnote>
  <w:footnote w:id="9">
    <w:p w14:paraId="1BCE1874" w14:textId="02669C76" w:rsidR="00AB2967" w:rsidRPr="00752364" w:rsidRDefault="00AB2967">
      <w:pPr>
        <w:pStyle w:val="Testonotaapidipagina"/>
        <w:rPr>
          <w:rFonts w:ascii="Arial" w:hAnsi="Arial" w:cs="Arial"/>
          <w:sz w:val="16"/>
          <w:szCs w:val="16"/>
        </w:rPr>
      </w:pPr>
      <w:r w:rsidRPr="00752364">
        <w:rPr>
          <w:rStyle w:val="Rimandonotaapidipagina"/>
          <w:rFonts w:ascii="Arial" w:hAnsi="Arial" w:cs="Arial"/>
          <w:sz w:val="16"/>
          <w:szCs w:val="16"/>
        </w:rPr>
        <w:footnoteRef/>
      </w:r>
      <w:r w:rsidRPr="00752364">
        <w:rPr>
          <w:rFonts w:ascii="Arial" w:hAnsi="Arial" w:cs="Arial"/>
          <w:sz w:val="16"/>
          <w:szCs w:val="16"/>
        </w:rPr>
        <w:t xml:space="preserve"> Il Regolamento è reperibile al seguente link: </w:t>
      </w:r>
      <w:hyperlink r:id="rId2" w:history="1">
        <w:r w:rsidRPr="00752364">
          <w:rPr>
            <w:rStyle w:val="Collegamentoipertestuale"/>
            <w:rFonts w:ascii="Arial" w:hAnsi="Arial" w:cs="Arial"/>
            <w:sz w:val="16"/>
            <w:szCs w:val="16"/>
          </w:rPr>
          <w:t>https://www.crea.gov.it/atti-generali</w:t>
        </w:r>
      </w:hyperlink>
    </w:p>
  </w:footnote>
  <w:footnote w:id="10">
    <w:p w14:paraId="36BF9AC8" w14:textId="5C7AB595" w:rsidR="00A43C4B" w:rsidRPr="00DA6F2F" w:rsidRDefault="00A43C4B">
      <w:pPr>
        <w:pStyle w:val="Testonotaapidipagina"/>
        <w:rPr>
          <w:rFonts w:ascii="Arial" w:hAnsi="Arial" w:cs="Arial"/>
          <w:sz w:val="16"/>
          <w:szCs w:val="16"/>
        </w:rPr>
      </w:pPr>
      <w:r>
        <w:rPr>
          <w:rStyle w:val="Rimandonotaapidipagina"/>
        </w:rPr>
        <w:footnoteRef/>
      </w:r>
      <w:r>
        <w:t xml:space="preserve"> </w:t>
      </w:r>
      <w:hyperlink r:id="rId3" w:history="1">
        <w:r w:rsidR="00DA6F2F" w:rsidRPr="00B84318">
          <w:rPr>
            <w:rStyle w:val="Collegamentoipertestuale"/>
            <w:rFonts w:ascii="Arial" w:hAnsi="Arial" w:cs="Arial"/>
            <w:sz w:val="16"/>
            <w:szCs w:val="16"/>
          </w:rPr>
          <w:t>https://www.anticorruzione.it/en/-/delibera-n.-495-del-25-settembre-2024</w:t>
        </w:r>
      </w:hyperlink>
      <w:r w:rsidR="00DA6F2F">
        <w:rPr>
          <w:rFonts w:ascii="Arial" w:hAnsi="Arial" w:cs="Arial"/>
          <w:sz w:val="16"/>
          <w:szCs w:val="16"/>
        </w:rPr>
        <w:t xml:space="preserve"> </w:t>
      </w:r>
    </w:p>
  </w:footnote>
  <w:footnote w:id="11">
    <w:p w14:paraId="3BA3C4E9" w14:textId="0BDED06B" w:rsidR="00384E57" w:rsidRPr="00752364" w:rsidRDefault="00384E57" w:rsidP="00384E57">
      <w:pPr>
        <w:pStyle w:val="Testonotaapidipagina"/>
        <w:jc w:val="both"/>
        <w:rPr>
          <w:rFonts w:ascii="Arial" w:hAnsi="Arial" w:cs="Arial"/>
          <w:sz w:val="16"/>
          <w:szCs w:val="16"/>
        </w:rPr>
      </w:pPr>
      <w:r w:rsidRPr="00752364">
        <w:rPr>
          <w:rStyle w:val="Rimandonotaapidipagina"/>
          <w:rFonts w:ascii="Arial" w:hAnsi="Arial" w:cs="Arial"/>
          <w:sz w:val="16"/>
          <w:szCs w:val="16"/>
        </w:rPr>
        <w:footnoteRef/>
      </w:r>
      <w:r w:rsidRPr="00752364">
        <w:rPr>
          <w:rFonts w:ascii="Arial" w:hAnsi="Arial" w:cs="Arial"/>
          <w:sz w:val="16"/>
          <w:szCs w:val="16"/>
        </w:rPr>
        <w:t xml:space="preserve"> Del</w:t>
      </w:r>
      <w:r w:rsidR="0035631B" w:rsidRPr="00752364">
        <w:rPr>
          <w:rFonts w:ascii="Arial" w:hAnsi="Arial" w:cs="Arial"/>
          <w:sz w:val="16"/>
          <w:szCs w:val="16"/>
        </w:rPr>
        <w:t>ibera</w:t>
      </w:r>
      <w:r w:rsidRPr="00752364">
        <w:rPr>
          <w:rFonts w:ascii="Arial" w:hAnsi="Arial" w:cs="Arial"/>
          <w:sz w:val="16"/>
          <w:szCs w:val="16"/>
        </w:rPr>
        <w:t xml:space="preserve"> n. 261/2023 recante “Adozione del provvedimento di cui all’articolo 23, comma 5, del decreto legislativo 31 marzo 2023, n. 36 recante «Individuazione delle informazioni che le stazioni appaltanti sono tenute a trasmettere alla Banca dati nazionale dei contratti pubblici attraverso le piattaforme telematiche e i tempi entro i quali i titolari delle piattaforme e delle banche dati di cui agli articoli 22 e 23, comma 3, del codice garantiscono l’integrazione con i servizi abilitanti l’ecosistema di approvvigionamento digitale”</w:t>
      </w:r>
    </w:p>
  </w:footnote>
  <w:footnote w:id="12">
    <w:p w14:paraId="14C60261" w14:textId="0BC4F07D" w:rsidR="00384E57" w:rsidRPr="00752364" w:rsidRDefault="00384E57" w:rsidP="00384E57">
      <w:pPr>
        <w:pStyle w:val="Testonotaapidipagina"/>
        <w:jc w:val="both"/>
        <w:rPr>
          <w:rFonts w:ascii="Arial" w:hAnsi="Arial" w:cs="Arial"/>
          <w:sz w:val="16"/>
          <w:szCs w:val="16"/>
        </w:rPr>
      </w:pPr>
      <w:r w:rsidRPr="00752364">
        <w:rPr>
          <w:rStyle w:val="Rimandonotaapidipagina"/>
          <w:rFonts w:ascii="Arial" w:hAnsi="Arial" w:cs="Arial"/>
          <w:sz w:val="16"/>
          <w:szCs w:val="16"/>
        </w:rPr>
        <w:footnoteRef/>
      </w:r>
      <w:r w:rsidRPr="00752364">
        <w:rPr>
          <w:rFonts w:ascii="Arial" w:hAnsi="Arial" w:cs="Arial"/>
          <w:sz w:val="16"/>
          <w:szCs w:val="16"/>
        </w:rPr>
        <w:t xml:space="preserve"> Del</w:t>
      </w:r>
      <w:r w:rsidR="0035631B" w:rsidRPr="00752364">
        <w:rPr>
          <w:rFonts w:ascii="Arial" w:hAnsi="Arial" w:cs="Arial"/>
          <w:sz w:val="16"/>
          <w:szCs w:val="16"/>
        </w:rPr>
        <w:t>ibera</w:t>
      </w:r>
      <w:r w:rsidRPr="00752364">
        <w:rPr>
          <w:rFonts w:ascii="Arial" w:hAnsi="Arial" w:cs="Arial"/>
          <w:sz w:val="16"/>
          <w:szCs w:val="16"/>
        </w:rPr>
        <w:t xml:space="preserve"> n. 264/2023 recante “Adozione del provvedimento di cui all’articolo 28, comma 4, del decreto legislativo n. 31 marzo 2023, n. 36 recante individuazione delle informazioni e dei dati relativi alla programmazione di lavori, servizi e forniture, nonché alle procedure del ciclo di vita dei contratti pubblici che rilevano ai fini dell’assolvimento degli obblighi di pubblicazione di cui al decreto legislativo 14 marzo 2013, n. 33”.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76B79" w14:textId="77777777" w:rsidR="006C0949" w:rsidRDefault="006C094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A996D2" w14:textId="77777777" w:rsidR="006C0949" w:rsidRDefault="006C0949">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A5EB29" w14:textId="77777777" w:rsidR="006C0949" w:rsidRDefault="006C094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33D532E"/>
    <w:multiLevelType w:val="multilevel"/>
    <w:tmpl w:val="15A0030C"/>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0"/>
        <w:szCs w:val="20"/>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00"/>
        </w:tabs>
        <w:ind w:left="2880" w:hanging="360"/>
      </w:pPr>
      <w:rPr>
        <w:sz w:val="24"/>
        <w:szCs w:val="24"/>
      </w:rPr>
    </w:lvl>
    <w:lvl w:ilvl="4">
      <w:start w:val="1"/>
      <w:numFmt w:val="decimal"/>
      <w:lvlText w:val="%5."/>
      <w:lvlJc w:val="left"/>
      <w:pPr>
        <w:tabs>
          <w:tab w:val="left" w:pos="3220"/>
        </w:tabs>
        <w:ind w:left="3600" w:hanging="360"/>
      </w:pPr>
      <w:rPr>
        <w:sz w:val="24"/>
        <w:szCs w:val="24"/>
      </w:rPr>
    </w:lvl>
    <w:lvl w:ilvl="5">
      <w:start w:val="1"/>
      <w:numFmt w:val="decimal"/>
      <w:lvlText w:val="%6."/>
      <w:lvlJc w:val="left"/>
      <w:pPr>
        <w:tabs>
          <w:tab w:val="left" w:pos="3940"/>
        </w:tabs>
        <w:ind w:left="4320" w:hanging="360"/>
      </w:pPr>
      <w:rPr>
        <w:sz w:val="24"/>
        <w:szCs w:val="24"/>
      </w:rPr>
    </w:lvl>
    <w:lvl w:ilvl="6">
      <w:start w:val="1"/>
      <w:numFmt w:val="decimal"/>
      <w:lvlText w:val="%7."/>
      <w:lvlJc w:val="left"/>
      <w:pPr>
        <w:tabs>
          <w:tab w:val="left" w:pos="4660"/>
        </w:tabs>
        <w:ind w:left="5040" w:hanging="360"/>
      </w:pPr>
      <w:rPr>
        <w:sz w:val="24"/>
        <w:szCs w:val="24"/>
      </w:rPr>
    </w:lvl>
    <w:lvl w:ilvl="7">
      <w:start w:val="1"/>
      <w:numFmt w:val="decimal"/>
      <w:lvlText w:val="%8."/>
      <w:lvlJc w:val="left"/>
      <w:pPr>
        <w:tabs>
          <w:tab w:val="left" w:pos="5380"/>
        </w:tabs>
        <w:ind w:left="5760" w:hanging="360"/>
      </w:pPr>
      <w:rPr>
        <w:sz w:val="24"/>
        <w:szCs w:val="24"/>
      </w:rPr>
    </w:lvl>
    <w:lvl w:ilvl="8">
      <w:start w:val="1"/>
      <w:numFmt w:val="decimal"/>
      <w:lvlText w:val="%9."/>
      <w:lvlJc w:val="left"/>
      <w:pPr>
        <w:tabs>
          <w:tab w:val="left" w:pos="6100"/>
        </w:tabs>
        <w:ind w:left="6480" w:hanging="360"/>
      </w:pPr>
      <w:rPr>
        <w:sz w:val="24"/>
        <w:szCs w:val="24"/>
      </w:rPr>
    </w:lvl>
  </w:abstractNum>
  <w:abstractNum w:abstractNumId="1" w15:restartNumberingAfterBreak="0">
    <w:nsid w:val="034A5BE2"/>
    <w:multiLevelType w:val="hybridMultilevel"/>
    <w:tmpl w:val="FEBC159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953153"/>
    <w:multiLevelType w:val="hybridMultilevel"/>
    <w:tmpl w:val="E4264176"/>
    <w:lvl w:ilvl="0" w:tplc="04100005">
      <w:start w:val="1"/>
      <w:numFmt w:val="bullet"/>
      <w:lvlText w:val=""/>
      <w:lvlJc w:val="left"/>
      <w:pPr>
        <w:ind w:left="644" w:hanging="360"/>
      </w:pPr>
      <w:rPr>
        <w:rFonts w:ascii="Wingdings" w:hAnsi="Wingdings"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3" w15:restartNumberingAfterBreak="0">
    <w:nsid w:val="07627877"/>
    <w:multiLevelType w:val="hybridMultilevel"/>
    <w:tmpl w:val="1F50C0A0"/>
    <w:lvl w:ilvl="0" w:tplc="2EF6E7B2">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4" w15:restartNumberingAfterBreak="0">
    <w:nsid w:val="0AD40686"/>
    <w:multiLevelType w:val="hybridMultilevel"/>
    <w:tmpl w:val="CB3A239E"/>
    <w:lvl w:ilvl="0" w:tplc="2EF6E7B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AE369A1"/>
    <w:multiLevelType w:val="hybridMultilevel"/>
    <w:tmpl w:val="342E3A78"/>
    <w:styleLink w:val="Stileimportato100"/>
    <w:lvl w:ilvl="0" w:tplc="8196EF0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C404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54904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71238F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F7A010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4A2711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AC0E31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704ED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A061C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0927552"/>
    <w:multiLevelType w:val="hybridMultilevel"/>
    <w:tmpl w:val="3F32B4B2"/>
    <w:lvl w:ilvl="0" w:tplc="2EF6E7B2">
      <w:start w:val="1"/>
      <w:numFmt w:val="bullet"/>
      <w:lvlText w:val=""/>
      <w:lvlJc w:val="left"/>
      <w:pPr>
        <w:ind w:left="1788" w:hanging="360"/>
      </w:pPr>
      <w:rPr>
        <w:rFonts w:ascii="Symbol" w:hAnsi="Symbol" w:hint="default"/>
      </w:rPr>
    </w:lvl>
    <w:lvl w:ilvl="1" w:tplc="04100003" w:tentative="1">
      <w:start w:val="1"/>
      <w:numFmt w:val="bullet"/>
      <w:lvlText w:val="o"/>
      <w:lvlJc w:val="left"/>
      <w:pPr>
        <w:ind w:left="2508" w:hanging="360"/>
      </w:pPr>
      <w:rPr>
        <w:rFonts w:ascii="Courier New" w:hAnsi="Courier New" w:cs="Courier New" w:hint="default"/>
      </w:rPr>
    </w:lvl>
    <w:lvl w:ilvl="2" w:tplc="04100005" w:tentative="1">
      <w:start w:val="1"/>
      <w:numFmt w:val="bullet"/>
      <w:lvlText w:val=""/>
      <w:lvlJc w:val="left"/>
      <w:pPr>
        <w:ind w:left="3228" w:hanging="360"/>
      </w:pPr>
      <w:rPr>
        <w:rFonts w:ascii="Wingdings" w:hAnsi="Wingdings" w:hint="default"/>
      </w:rPr>
    </w:lvl>
    <w:lvl w:ilvl="3" w:tplc="04100001" w:tentative="1">
      <w:start w:val="1"/>
      <w:numFmt w:val="bullet"/>
      <w:lvlText w:val=""/>
      <w:lvlJc w:val="left"/>
      <w:pPr>
        <w:ind w:left="3948" w:hanging="360"/>
      </w:pPr>
      <w:rPr>
        <w:rFonts w:ascii="Symbol" w:hAnsi="Symbol" w:hint="default"/>
      </w:rPr>
    </w:lvl>
    <w:lvl w:ilvl="4" w:tplc="04100003" w:tentative="1">
      <w:start w:val="1"/>
      <w:numFmt w:val="bullet"/>
      <w:lvlText w:val="o"/>
      <w:lvlJc w:val="left"/>
      <w:pPr>
        <w:ind w:left="4668" w:hanging="360"/>
      </w:pPr>
      <w:rPr>
        <w:rFonts w:ascii="Courier New" w:hAnsi="Courier New" w:cs="Courier New" w:hint="default"/>
      </w:rPr>
    </w:lvl>
    <w:lvl w:ilvl="5" w:tplc="04100005" w:tentative="1">
      <w:start w:val="1"/>
      <w:numFmt w:val="bullet"/>
      <w:lvlText w:val=""/>
      <w:lvlJc w:val="left"/>
      <w:pPr>
        <w:ind w:left="5388" w:hanging="360"/>
      </w:pPr>
      <w:rPr>
        <w:rFonts w:ascii="Wingdings" w:hAnsi="Wingdings" w:hint="default"/>
      </w:rPr>
    </w:lvl>
    <w:lvl w:ilvl="6" w:tplc="04100001" w:tentative="1">
      <w:start w:val="1"/>
      <w:numFmt w:val="bullet"/>
      <w:lvlText w:val=""/>
      <w:lvlJc w:val="left"/>
      <w:pPr>
        <w:ind w:left="6108" w:hanging="360"/>
      </w:pPr>
      <w:rPr>
        <w:rFonts w:ascii="Symbol" w:hAnsi="Symbol" w:hint="default"/>
      </w:rPr>
    </w:lvl>
    <w:lvl w:ilvl="7" w:tplc="04100003" w:tentative="1">
      <w:start w:val="1"/>
      <w:numFmt w:val="bullet"/>
      <w:lvlText w:val="o"/>
      <w:lvlJc w:val="left"/>
      <w:pPr>
        <w:ind w:left="6828" w:hanging="360"/>
      </w:pPr>
      <w:rPr>
        <w:rFonts w:ascii="Courier New" w:hAnsi="Courier New" w:cs="Courier New" w:hint="default"/>
      </w:rPr>
    </w:lvl>
    <w:lvl w:ilvl="8" w:tplc="04100005" w:tentative="1">
      <w:start w:val="1"/>
      <w:numFmt w:val="bullet"/>
      <w:lvlText w:val=""/>
      <w:lvlJc w:val="left"/>
      <w:pPr>
        <w:ind w:left="7548" w:hanging="360"/>
      </w:pPr>
      <w:rPr>
        <w:rFonts w:ascii="Wingdings" w:hAnsi="Wingdings" w:hint="default"/>
      </w:rPr>
    </w:lvl>
  </w:abstractNum>
  <w:abstractNum w:abstractNumId="7" w15:restartNumberingAfterBreak="0">
    <w:nsid w:val="14216D29"/>
    <w:multiLevelType w:val="hybridMultilevel"/>
    <w:tmpl w:val="1204A70C"/>
    <w:lvl w:ilvl="0" w:tplc="E0C81C8C">
      <w:start w:val="2"/>
      <w:numFmt w:val="bullet"/>
      <w:lvlText w:val="-"/>
      <w:lvlJc w:val="left"/>
      <w:pPr>
        <w:ind w:left="1068" w:hanging="360"/>
      </w:pPr>
      <w:rPr>
        <w:rFonts w:ascii="Arial" w:eastAsia="Times New Roman" w:hAnsi="Arial" w:cs="Aria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8" w15:restartNumberingAfterBreak="0">
    <w:nsid w:val="245177C8"/>
    <w:multiLevelType w:val="hybridMultilevel"/>
    <w:tmpl w:val="5114F8F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61767B1"/>
    <w:multiLevelType w:val="hybridMultilevel"/>
    <w:tmpl w:val="975884DC"/>
    <w:styleLink w:val="Puntielenco"/>
    <w:lvl w:ilvl="0" w:tplc="7E5E6E3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F3075C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400458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EA8768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4234E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BF478E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B03AE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18CF74">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B4847B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DBD5590"/>
    <w:multiLevelType w:val="hybridMultilevel"/>
    <w:tmpl w:val="5826106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E9A189E"/>
    <w:multiLevelType w:val="multilevel"/>
    <w:tmpl w:val="2E9214AA"/>
    <w:lvl w:ilvl="0">
      <w:start w:val="2"/>
      <w:numFmt w:val="decimal"/>
      <w:lvlText w:val="%1"/>
      <w:lvlJc w:val="left"/>
      <w:pPr>
        <w:ind w:left="744" w:hanging="744"/>
      </w:pPr>
      <w:rPr>
        <w:rFonts w:hint="default"/>
      </w:rPr>
    </w:lvl>
    <w:lvl w:ilvl="1">
      <w:start w:val="3"/>
      <w:numFmt w:val="decimal"/>
      <w:lvlText w:val="%1.%2"/>
      <w:lvlJc w:val="left"/>
      <w:pPr>
        <w:ind w:left="744" w:hanging="744"/>
      </w:pPr>
      <w:rPr>
        <w:rFonts w:hint="default"/>
      </w:rPr>
    </w:lvl>
    <w:lvl w:ilvl="2">
      <w:start w:val="2"/>
      <w:numFmt w:val="decimal"/>
      <w:lvlText w:val="%1.%2.%3"/>
      <w:lvlJc w:val="left"/>
      <w:pPr>
        <w:ind w:left="744" w:hanging="744"/>
      </w:pPr>
      <w:rPr>
        <w:rFonts w:hint="default"/>
      </w:rPr>
    </w:lvl>
    <w:lvl w:ilvl="3">
      <w:start w:val="5"/>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79175A8"/>
    <w:multiLevelType w:val="hybridMultilevel"/>
    <w:tmpl w:val="18B423E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9D847CB"/>
    <w:multiLevelType w:val="multilevel"/>
    <w:tmpl w:val="1A56D064"/>
    <w:styleLink w:val="Elencocorrente1"/>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rFonts w:ascii="Arial" w:eastAsia="Times New Roman" w:hAnsi="Arial" w:cs="Arial"/>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00"/>
        </w:tabs>
        <w:ind w:left="2880" w:hanging="360"/>
      </w:pPr>
      <w:rPr>
        <w:sz w:val="24"/>
        <w:szCs w:val="24"/>
      </w:rPr>
    </w:lvl>
    <w:lvl w:ilvl="4">
      <w:start w:val="1"/>
      <w:numFmt w:val="decimal"/>
      <w:lvlText w:val="%5."/>
      <w:lvlJc w:val="left"/>
      <w:pPr>
        <w:tabs>
          <w:tab w:val="left" w:pos="3220"/>
        </w:tabs>
        <w:ind w:left="3600" w:hanging="360"/>
      </w:pPr>
      <w:rPr>
        <w:sz w:val="24"/>
        <w:szCs w:val="24"/>
      </w:rPr>
    </w:lvl>
    <w:lvl w:ilvl="5">
      <w:start w:val="1"/>
      <w:numFmt w:val="decimal"/>
      <w:lvlText w:val="%6."/>
      <w:lvlJc w:val="left"/>
      <w:pPr>
        <w:tabs>
          <w:tab w:val="left" w:pos="3940"/>
        </w:tabs>
        <w:ind w:left="4320" w:hanging="360"/>
      </w:pPr>
      <w:rPr>
        <w:sz w:val="24"/>
        <w:szCs w:val="24"/>
      </w:rPr>
    </w:lvl>
    <w:lvl w:ilvl="6">
      <w:start w:val="1"/>
      <w:numFmt w:val="decimal"/>
      <w:lvlText w:val="%7."/>
      <w:lvlJc w:val="left"/>
      <w:pPr>
        <w:tabs>
          <w:tab w:val="left" w:pos="4660"/>
        </w:tabs>
        <w:ind w:left="5040" w:hanging="360"/>
      </w:pPr>
      <w:rPr>
        <w:sz w:val="24"/>
        <w:szCs w:val="24"/>
      </w:rPr>
    </w:lvl>
    <w:lvl w:ilvl="7">
      <w:start w:val="1"/>
      <w:numFmt w:val="decimal"/>
      <w:lvlText w:val="%8."/>
      <w:lvlJc w:val="left"/>
      <w:pPr>
        <w:tabs>
          <w:tab w:val="left" w:pos="5380"/>
        </w:tabs>
        <w:ind w:left="5760" w:hanging="360"/>
      </w:pPr>
      <w:rPr>
        <w:sz w:val="24"/>
        <w:szCs w:val="24"/>
      </w:rPr>
    </w:lvl>
    <w:lvl w:ilvl="8">
      <w:start w:val="1"/>
      <w:numFmt w:val="decimal"/>
      <w:lvlText w:val="%9."/>
      <w:lvlJc w:val="left"/>
      <w:pPr>
        <w:tabs>
          <w:tab w:val="left" w:pos="6100"/>
        </w:tabs>
        <w:ind w:left="6480" w:hanging="360"/>
      </w:pPr>
      <w:rPr>
        <w:sz w:val="24"/>
        <w:szCs w:val="24"/>
      </w:rPr>
    </w:lvl>
  </w:abstractNum>
  <w:abstractNum w:abstractNumId="14" w15:restartNumberingAfterBreak="0">
    <w:nsid w:val="3A674B4C"/>
    <w:multiLevelType w:val="hybridMultilevel"/>
    <w:tmpl w:val="69126E4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9964CE8"/>
    <w:multiLevelType w:val="hybridMultilevel"/>
    <w:tmpl w:val="2988BCA2"/>
    <w:styleLink w:val="Stileimportato8"/>
    <w:lvl w:ilvl="0" w:tplc="12F805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32A89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A4F0B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016C88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3BC97B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8A641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EB648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26E69F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80ED2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4B9F4CA0"/>
    <w:multiLevelType w:val="hybridMultilevel"/>
    <w:tmpl w:val="CBE490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8672D6C"/>
    <w:multiLevelType w:val="hybridMultilevel"/>
    <w:tmpl w:val="810C22C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ABD539E"/>
    <w:multiLevelType w:val="hybridMultilevel"/>
    <w:tmpl w:val="30021DD6"/>
    <w:lvl w:ilvl="0" w:tplc="04100005">
      <w:start w:val="1"/>
      <w:numFmt w:val="bullet"/>
      <w:lvlText w:val=""/>
      <w:lvlJc w:val="left"/>
      <w:pPr>
        <w:ind w:left="780" w:hanging="360"/>
      </w:pPr>
      <w:rPr>
        <w:rFonts w:ascii="Wingdings" w:hAnsi="Wingdings"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9" w15:restartNumberingAfterBreak="0">
    <w:nsid w:val="5CB010D3"/>
    <w:multiLevelType w:val="hybridMultilevel"/>
    <w:tmpl w:val="6072891A"/>
    <w:lvl w:ilvl="0" w:tplc="2EF6E7B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32C6813"/>
    <w:multiLevelType w:val="hybridMultilevel"/>
    <w:tmpl w:val="E2B03D2A"/>
    <w:lvl w:ilvl="0" w:tplc="F44EDF1C">
      <w:start w:val="2"/>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647531F4"/>
    <w:multiLevelType w:val="hybridMultilevel"/>
    <w:tmpl w:val="49662ABC"/>
    <w:styleLink w:val="Stileimportato10"/>
    <w:lvl w:ilvl="0" w:tplc="E2488DC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D40768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EA02DA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CB86B8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4A74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F6CDE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D10ECC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8EB28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3408CD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73FE153E"/>
    <w:multiLevelType w:val="hybridMultilevel"/>
    <w:tmpl w:val="35E6FF3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4CE5C6B"/>
    <w:multiLevelType w:val="hybridMultilevel"/>
    <w:tmpl w:val="BB8EDDC4"/>
    <w:lvl w:ilvl="0" w:tplc="7768648A">
      <w:numFmt w:val="bullet"/>
      <w:lvlText w:val="-"/>
      <w:lvlJc w:val="left"/>
      <w:rPr>
        <w:rFonts w:ascii="Times New Roman" w:eastAsiaTheme="minorHAnsi"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7F5C4F5B"/>
    <w:multiLevelType w:val="hybridMultilevel"/>
    <w:tmpl w:val="2C9246E6"/>
    <w:styleLink w:val="Stileimportato9"/>
    <w:lvl w:ilvl="0" w:tplc="73F60350">
      <w:start w:val="1"/>
      <w:numFmt w:val="bullet"/>
      <w:lvlText w:val="➢"/>
      <w:lvlJc w:val="left"/>
      <w:pPr>
        <w:tabs>
          <w:tab w:val="left" w:pos="2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71FAE714">
      <w:start w:val="1"/>
      <w:numFmt w:val="bullet"/>
      <w:lvlText w:val="o"/>
      <w:lvlJc w:val="left"/>
      <w:pPr>
        <w:tabs>
          <w:tab w:val="left" w:pos="220"/>
          <w:tab w:val="left" w:pos="720"/>
          <w:tab w:val="left" w:pos="2160"/>
          <w:tab w:val="left" w:pos="2880"/>
          <w:tab w:val="left" w:pos="3600"/>
          <w:tab w:val="left" w:pos="4320"/>
          <w:tab w:val="left" w:pos="5040"/>
          <w:tab w:val="left" w:pos="5760"/>
          <w:tab w:val="left" w:pos="6480"/>
          <w:tab w:val="left" w:pos="7200"/>
          <w:tab w:val="left" w:pos="7920"/>
          <w:tab w:val="left" w:pos="8640"/>
          <w:tab w:val="left" w:pos="913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DAC87BA">
      <w:start w:val="1"/>
      <w:numFmt w:val="bullet"/>
      <w:lvlText w:val="▪"/>
      <w:lvlJc w:val="left"/>
      <w:pPr>
        <w:tabs>
          <w:tab w:val="left" w:pos="220"/>
          <w:tab w:val="left" w:pos="720"/>
          <w:tab w:val="left" w:pos="1440"/>
          <w:tab w:val="left" w:pos="2880"/>
          <w:tab w:val="left" w:pos="3600"/>
          <w:tab w:val="left" w:pos="4320"/>
          <w:tab w:val="left" w:pos="5040"/>
          <w:tab w:val="left" w:pos="5760"/>
          <w:tab w:val="left" w:pos="6480"/>
          <w:tab w:val="left" w:pos="7200"/>
          <w:tab w:val="left" w:pos="7920"/>
          <w:tab w:val="left" w:pos="8640"/>
          <w:tab w:val="left" w:pos="913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2FC4ABA">
      <w:start w:val="1"/>
      <w:numFmt w:val="bullet"/>
      <w:lvlText w:val="•"/>
      <w:lvlJc w:val="left"/>
      <w:pPr>
        <w:tabs>
          <w:tab w:val="left" w:pos="220"/>
          <w:tab w:val="left" w:pos="720"/>
          <w:tab w:val="left" w:pos="1440"/>
          <w:tab w:val="left" w:pos="2160"/>
          <w:tab w:val="left" w:pos="3600"/>
          <w:tab w:val="left" w:pos="4320"/>
          <w:tab w:val="left" w:pos="5040"/>
          <w:tab w:val="left" w:pos="5760"/>
          <w:tab w:val="left" w:pos="6480"/>
          <w:tab w:val="left" w:pos="7200"/>
          <w:tab w:val="left" w:pos="7920"/>
          <w:tab w:val="left" w:pos="8640"/>
          <w:tab w:val="left" w:pos="9132"/>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3AD44666">
      <w:start w:val="1"/>
      <w:numFmt w:val="bullet"/>
      <w:lvlText w:val="o"/>
      <w:lvlJc w:val="left"/>
      <w:pPr>
        <w:tabs>
          <w:tab w:val="left" w:pos="220"/>
          <w:tab w:val="left" w:pos="720"/>
          <w:tab w:val="left" w:pos="1440"/>
          <w:tab w:val="left" w:pos="2160"/>
          <w:tab w:val="left" w:pos="2880"/>
          <w:tab w:val="left" w:pos="4320"/>
          <w:tab w:val="left" w:pos="5040"/>
          <w:tab w:val="left" w:pos="5760"/>
          <w:tab w:val="left" w:pos="6480"/>
          <w:tab w:val="left" w:pos="7200"/>
          <w:tab w:val="left" w:pos="7920"/>
          <w:tab w:val="left" w:pos="8640"/>
          <w:tab w:val="left" w:pos="9132"/>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3D368ED4">
      <w:start w:val="1"/>
      <w:numFmt w:val="bullet"/>
      <w:lvlText w:val="▪"/>
      <w:lvlJc w:val="left"/>
      <w:pPr>
        <w:tabs>
          <w:tab w:val="left" w:pos="220"/>
          <w:tab w:val="left" w:pos="720"/>
          <w:tab w:val="left" w:pos="1440"/>
          <w:tab w:val="left" w:pos="2160"/>
          <w:tab w:val="left" w:pos="2880"/>
          <w:tab w:val="left" w:pos="3600"/>
          <w:tab w:val="left" w:pos="5040"/>
          <w:tab w:val="left" w:pos="5760"/>
          <w:tab w:val="left" w:pos="6480"/>
          <w:tab w:val="left" w:pos="7200"/>
          <w:tab w:val="left" w:pos="7920"/>
          <w:tab w:val="left" w:pos="8640"/>
          <w:tab w:val="left" w:pos="9132"/>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D7CE713A">
      <w:start w:val="1"/>
      <w:numFmt w:val="bullet"/>
      <w:lvlText w:val="•"/>
      <w:lvlJc w:val="left"/>
      <w:pPr>
        <w:tabs>
          <w:tab w:val="left" w:pos="220"/>
          <w:tab w:val="left" w:pos="720"/>
          <w:tab w:val="left" w:pos="1440"/>
          <w:tab w:val="left" w:pos="2160"/>
          <w:tab w:val="left" w:pos="2880"/>
          <w:tab w:val="left" w:pos="3600"/>
          <w:tab w:val="left" w:pos="4320"/>
          <w:tab w:val="left" w:pos="5760"/>
          <w:tab w:val="left" w:pos="6480"/>
          <w:tab w:val="left" w:pos="7200"/>
          <w:tab w:val="left" w:pos="7920"/>
          <w:tab w:val="left" w:pos="8640"/>
          <w:tab w:val="left" w:pos="9132"/>
        </w:tabs>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5144F0A6">
      <w:start w:val="1"/>
      <w:numFmt w:val="bullet"/>
      <w:lvlText w:val="o"/>
      <w:lvlJc w:val="left"/>
      <w:pPr>
        <w:tabs>
          <w:tab w:val="left" w:pos="220"/>
          <w:tab w:val="left" w:pos="720"/>
          <w:tab w:val="left" w:pos="1440"/>
          <w:tab w:val="left" w:pos="2160"/>
          <w:tab w:val="left" w:pos="2880"/>
          <w:tab w:val="left" w:pos="3600"/>
          <w:tab w:val="left" w:pos="4320"/>
          <w:tab w:val="left" w:pos="5040"/>
          <w:tab w:val="left" w:pos="6480"/>
          <w:tab w:val="left" w:pos="7200"/>
          <w:tab w:val="left" w:pos="7920"/>
          <w:tab w:val="left" w:pos="8640"/>
          <w:tab w:val="left" w:pos="9132"/>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B9C4053A">
      <w:start w:val="1"/>
      <w:numFmt w:val="bullet"/>
      <w:lvlText w:val="▪"/>
      <w:lvlJc w:val="left"/>
      <w:pPr>
        <w:tabs>
          <w:tab w:val="left" w:pos="220"/>
          <w:tab w:val="left" w:pos="720"/>
          <w:tab w:val="left" w:pos="1440"/>
          <w:tab w:val="left" w:pos="2160"/>
          <w:tab w:val="left" w:pos="2880"/>
          <w:tab w:val="left" w:pos="3600"/>
          <w:tab w:val="left" w:pos="4320"/>
          <w:tab w:val="left" w:pos="5040"/>
          <w:tab w:val="left" w:pos="5760"/>
          <w:tab w:val="left" w:pos="7200"/>
          <w:tab w:val="left" w:pos="7920"/>
          <w:tab w:val="left" w:pos="8640"/>
          <w:tab w:val="left" w:pos="9132"/>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num w:numId="1" w16cid:durableId="1290286490">
    <w:abstractNumId w:val="9"/>
  </w:num>
  <w:num w:numId="2" w16cid:durableId="1257597805">
    <w:abstractNumId w:val="15"/>
  </w:num>
  <w:num w:numId="3" w16cid:durableId="312948763">
    <w:abstractNumId w:val="21"/>
  </w:num>
  <w:num w:numId="4" w16cid:durableId="754590686">
    <w:abstractNumId w:val="24"/>
  </w:num>
  <w:num w:numId="5" w16cid:durableId="1111826212">
    <w:abstractNumId w:val="5"/>
  </w:num>
  <w:num w:numId="6" w16cid:durableId="756828349">
    <w:abstractNumId w:val="10"/>
  </w:num>
  <w:num w:numId="7" w16cid:durableId="288318143">
    <w:abstractNumId w:val="0"/>
  </w:num>
  <w:num w:numId="8" w16cid:durableId="1266233333">
    <w:abstractNumId w:val="7"/>
  </w:num>
  <w:num w:numId="9" w16cid:durableId="62677073">
    <w:abstractNumId w:val="13"/>
  </w:num>
  <w:num w:numId="10" w16cid:durableId="243956520">
    <w:abstractNumId w:val="1"/>
  </w:num>
  <w:num w:numId="11" w16cid:durableId="78063013">
    <w:abstractNumId w:val="22"/>
  </w:num>
  <w:num w:numId="12" w16cid:durableId="1008678924">
    <w:abstractNumId w:val="17"/>
  </w:num>
  <w:num w:numId="13" w16cid:durableId="701172755">
    <w:abstractNumId w:val="18"/>
  </w:num>
  <w:num w:numId="14" w16cid:durableId="655379545">
    <w:abstractNumId w:val="12"/>
  </w:num>
  <w:num w:numId="15" w16cid:durableId="746463397">
    <w:abstractNumId w:val="2"/>
  </w:num>
  <w:num w:numId="16" w16cid:durableId="1636836019">
    <w:abstractNumId w:val="19"/>
  </w:num>
  <w:num w:numId="17" w16cid:durableId="1448617592">
    <w:abstractNumId w:val="4"/>
  </w:num>
  <w:num w:numId="18" w16cid:durableId="268585791">
    <w:abstractNumId w:val="3"/>
  </w:num>
  <w:num w:numId="19" w16cid:durableId="111097679">
    <w:abstractNumId w:val="6"/>
  </w:num>
  <w:num w:numId="20" w16cid:durableId="817258674">
    <w:abstractNumId w:val="23"/>
  </w:num>
  <w:num w:numId="21" w16cid:durableId="1840727389">
    <w:abstractNumId w:val="16"/>
  </w:num>
  <w:num w:numId="22" w16cid:durableId="253318477">
    <w:abstractNumId w:val="8"/>
  </w:num>
  <w:num w:numId="23" w16cid:durableId="113911863">
    <w:abstractNumId w:val="11"/>
  </w:num>
  <w:num w:numId="24" w16cid:durableId="112867532">
    <w:abstractNumId w:val="14"/>
  </w:num>
  <w:num w:numId="25" w16cid:durableId="1382099413">
    <w:abstractNumId w:val="2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4"/>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B8D"/>
    <w:rsid w:val="000003E9"/>
    <w:rsid w:val="00000AB4"/>
    <w:rsid w:val="000023C5"/>
    <w:rsid w:val="00002F92"/>
    <w:rsid w:val="0000368B"/>
    <w:rsid w:val="00005110"/>
    <w:rsid w:val="000053CF"/>
    <w:rsid w:val="00005510"/>
    <w:rsid w:val="00005B41"/>
    <w:rsid w:val="00005DB4"/>
    <w:rsid w:val="00005DDB"/>
    <w:rsid w:val="00006CF4"/>
    <w:rsid w:val="000073EE"/>
    <w:rsid w:val="00007696"/>
    <w:rsid w:val="00007814"/>
    <w:rsid w:val="00007E7A"/>
    <w:rsid w:val="00010F37"/>
    <w:rsid w:val="0001196C"/>
    <w:rsid w:val="00011F3D"/>
    <w:rsid w:val="000128AB"/>
    <w:rsid w:val="00012C43"/>
    <w:rsid w:val="00012D4B"/>
    <w:rsid w:val="00013906"/>
    <w:rsid w:val="00013A78"/>
    <w:rsid w:val="00013A89"/>
    <w:rsid w:val="00015035"/>
    <w:rsid w:val="0001507B"/>
    <w:rsid w:val="00015DCE"/>
    <w:rsid w:val="0001690E"/>
    <w:rsid w:val="00016B4A"/>
    <w:rsid w:val="00016E68"/>
    <w:rsid w:val="00017A51"/>
    <w:rsid w:val="00020532"/>
    <w:rsid w:val="000205A5"/>
    <w:rsid w:val="000208EC"/>
    <w:rsid w:val="00020C3B"/>
    <w:rsid w:val="000212A3"/>
    <w:rsid w:val="00022725"/>
    <w:rsid w:val="000227D2"/>
    <w:rsid w:val="00023A97"/>
    <w:rsid w:val="00023B97"/>
    <w:rsid w:val="000245C4"/>
    <w:rsid w:val="00024D14"/>
    <w:rsid w:val="00025231"/>
    <w:rsid w:val="00025BEB"/>
    <w:rsid w:val="00026384"/>
    <w:rsid w:val="000267BD"/>
    <w:rsid w:val="00027022"/>
    <w:rsid w:val="0002742B"/>
    <w:rsid w:val="00027A2B"/>
    <w:rsid w:val="0003033D"/>
    <w:rsid w:val="0003083F"/>
    <w:rsid w:val="00030BDC"/>
    <w:rsid w:val="00030D5B"/>
    <w:rsid w:val="00031012"/>
    <w:rsid w:val="00031285"/>
    <w:rsid w:val="000316DB"/>
    <w:rsid w:val="000323CF"/>
    <w:rsid w:val="00032679"/>
    <w:rsid w:val="00032B31"/>
    <w:rsid w:val="00032CAE"/>
    <w:rsid w:val="00033663"/>
    <w:rsid w:val="00033CFD"/>
    <w:rsid w:val="00033FE4"/>
    <w:rsid w:val="000342B0"/>
    <w:rsid w:val="00034F56"/>
    <w:rsid w:val="0003602E"/>
    <w:rsid w:val="00036163"/>
    <w:rsid w:val="00036259"/>
    <w:rsid w:val="000363EB"/>
    <w:rsid w:val="00036F64"/>
    <w:rsid w:val="00037B16"/>
    <w:rsid w:val="00037EF7"/>
    <w:rsid w:val="00040184"/>
    <w:rsid w:val="00041026"/>
    <w:rsid w:val="00041F97"/>
    <w:rsid w:val="00042995"/>
    <w:rsid w:val="000432B8"/>
    <w:rsid w:val="00043378"/>
    <w:rsid w:val="00044B58"/>
    <w:rsid w:val="00044BC7"/>
    <w:rsid w:val="00045EEC"/>
    <w:rsid w:val="00046AD2"/>
    <w:rsid w:val="000471CE"/>
    <w:rsid w:val="00047338"/>
    <w:rsid w:val="00047842"/>
    <w:rsid w:val="00047914"/>
    <w:rsid w:val="00047B57"/>
    <w:rsid w:val="00050032"/>
    <w:rsid w:val="0005063D"/>
    <w:rsid w:val="0005126C"/>
    <w:rsid w:val="000513FB"/>
    <w:rsid w:val="000518F8"/>
    <w:rsid w:val="000528F3"/>
    <w:rsid w:val="00053020"/>
    <w:rsid w:val="000534C2"/>
    <w:rsid w:val="000540FF"/>
    <w:rsid w:val="00054334"/>
    <w:rsid w:val="00054567"/>
    <w:rsid w:val="00055234"/>
    <w:rsid w:val="000559E9"/>
    <w:rsid w:val="00055CBC"/>
    <w:rsid w:val="00056114"/>
    <w:rsid w:val="00056521"/>
    <w:rsid w:val="00057C64"/>
    <w:rsid w:val="00060071"/>
    <w:rsid w:val="00060396"/>
    <w:rsid w:val="000603F3"/>
    <w:rsid w:val="00060430"/>
    <w:rsid w:val="000606F8"/>
    <w:rsid w:val="0006098C"/>
    <w:rsid w:val="00060EEA"/>
    <w:rsid w:val="000617C9"/>
    <w:rsid w:val="00061F40"/>
    <w:rsid w:val="0006288F"/>
    <w:rsid w:val="00063A6A"/>
    <w:rsid w:val="00063CA5"/>
    <w:rsid w:val="00064943"/>
    <w:rsid w:val="00065600"/>
    <w:rsid w:val="00067052"/>
    <w:rsid w:val="00071F80"/>
    <w:rsid w:val="0007228F"/>
    <w:rsid w:val="000722DE"/>
    <w:rsid w:val="0007248A"/>
    <w:rsid w:val="00072BA5"/>
    <w:rsid w:val="000732C8"/>
    <w:rsid w:val="000741E6"/>
    <w:rsid w:val="00074683"/>
    <w:rsid w:val="00074B83"/>
    <w:rsid w:val="00074BDD"/>
    <w:rsid w:val="00075A44"/>
    <w:rsid w:val="000774A7"/>
    <w:rsid w:val="000807C7"/>
    <w:rsid w:val="0008112C"/>
    <w:rsid w:val="000811DD"/>
    <w:rsid w:val="00081E11"/>
    <w:rsid w:val="000827F1"/>
    <w:rsid w:val="00082BC7"/>
    <w:rsid w:val="00083F34"/>
    <w:rsid w:val="00083FB5"/>
    <w:rsid w:val="0008449D"/>
    <w:rsid w:val="00084EEB"/>
    <w:rsid w:val="00085F78"/>
    <w:rsid w:val="000862FA"/>
    <w:rsid w:val="0008633F"/>
    <w:rsid w:val="00086824"/>
    <w:rsid w:val="0009014C"/>
    <w:rsid w:val="000901D4"/>
    <w:rsid w:val="00090625"/>
    <w:rsid w:val="000910BE"/>
    <w:rsid w:val="000922CC"/>
    <w:rsid w:val="000926E6"/>
    <w:rsid w:val="000929A6"/>
    <w:rsid w:val="000933D1"/>
    <w:rsid w:val="00093701"/>
    <w:rsid w:val="00093B58"/>
    <w:rsid w:val="0009400C"/>
    <w:rsid w:val="000962A3"/>
    <w:rsid w:val="0009662C"/>
    <w:rsid w:val="00096CE8"/>
    <w:rsid w:val="000971A3"/>
    <w:rsid w:val="00097436"/>
    <w:rsid w:val="000A0036"/>
    <w:rsid w:val="000A01BA"/>
    <w:rsid w:val="000A049D"/>
    <w:rsid w:val="000A19EE"/>
    <w:rsid w:val="000A1D9A"/>
    <w:rsid w:val="000A23C3"/>
    <w:rsid w:val="000A33BA"/>
    <w:rsid w:val="000A3B24"/>
    <w:rsid w:val="000A5DFA"/>
    <w:rsid w:val="000A6740"/>
    <w:rsid w:val="000A6FC7"/>
    <w:rsid w:val="000A7DEB"/>
    <w:rsid w:val="000A7E06"/>
    <w:rsid w:val="000A7E7B"/>
    <w:rsid w:val="000B0B51"/>
    <w:rsid w:val="000B0CE4"/>
    <w:rsid w:val="000B1670"/>
    <w:rsid w:val="000B22C9"/>
    <w:rsid w:val="000B2614"/>
    <w:rsid w:val="000B288F"/>
    <w:rsid w:val="000B2961"/>
    <w:rsid w:val="000B3013"/>
    <w:rsid w:val="000B3372"/>
    <w:rsid w:val="000B3CF8"/>
    <w:rsid w:val="000B3FD1"/>
    <w:rsid w:val="000B60A5"/>
    <w:rsid w:val="000B64B5"/>
    <w:rsid w:val="000B6B23"/>
    <w:rsid w:val="000B754A"/>
    <w:rsid w:val="000C0F96"/>
    <w:rsid w:val="000C0FC6"/>
    <w:rsid w:val="000C1574"/>
    <w:rsid w:val="000C19FE"/>
    <w:rsid w:val="000C2342"/>
    <w:rsid w:val="000C2AEB"/>
    <w:rsid w:val="000C3356"/>
    <w:rsid w:val="000C3A73"/>
    <w:rsid w:val="000C4D93"/>
    <w:rsid w:val="000C6EE3"/>
    <w:rsid w:val="000C7B59"/>
    <w:rsid w:val="000C7B6D"/>
    <w:rsid w:val="000D0025"/>
    <w:rsid w:val="000D01C4"/>
    <w:rsid w:val="000D0564"/>
    <w:rsid w:val="000D05C3"/>
    <w:rsid w:val="000D192D"/>
    <w:rsid w:val="000D276D"/>
    <w:rsid w:val="000D27BE"/>
    <w:rsid w:val="000D2853"/>
    <w:rsid w:val="000D2B9A"/>
    <w:rsid w:val="000D3652"/>
    <w:rsid w:val="000D3A91"/>
    <w:rsid w:val="000D415A"/>
    <w:rsid w:val="000D4C97"/>
    <w:rsid w:val="000D5732"/>
    <w:rsid w:val="000D658F"/>
    <w:rsid w:val="000D68F8"/>
    <w:rsid w:val="000D7333"/>
    <w:rsid w:val="000D76E6"/>
    <w:rsid w:val="000D7F64"/>
    <w:rsid w:val="000E0B01"/>
    <w:rsid w:val="000E13DB"/>
    <w:rsid w:val="000E2157"/>
    <w:rsid w:val="000E3B5F"/>
    <w:rsid w:val="000E3D82"/>
    <w:rsid w:val="000E3EBA"/>
    <w:rsid w:val="000E408F"/>
    <w:rsid w:val="000E4773"/>
    <w:rsid w:val="000E4E29"/>
    <w:rsid w:val="000E4E5C"/>
    <w:rsid w:val="000E51D8"/>
    <w:rsid w:val="000E5925"/>
    <w:rsid w:val="000E67B5"/>
    <w:rsid w:val="000E6D56"/>
    <w:rsid w:val="000E6D68"/>
    <w:rsid w:val="000E74E7"/>
    <w:rsid w:val="000E7DE0"/>
    <w:rsid w:val="000F0BE2"/>
    <w:rsid w:val="000F23EA"/>
    <w:rsid w:val="000F2663"/>
    <w:rsid w:val="000F3D99"/>
    <w:rsid w:val="000F3EF1"/>
    <w:rsid w:val="000F5598"/>
    <w:rsid w:val="000F55A0"/>
    <w:rsid w:val="000F56F6"/>
    <w:rsid w:val="000F57EC"/>
    <w:rsid w:val="000F60EE"/>
    <w:rsid w:val="000F6C48"/>
    <w:rsid w:val="000F71AF"/>
    <w:rsid w:val="000F7D4A"/>
    <w:rsid w:val="001008B9"/>
    <w:rsid w:val="001010FF"/>
    <w:rsid w:val="0010136B"/>
    <w:rsid w:val="00102396"/>
    <w:rsid w:val="00102FB6"/>
    <w:rsid w:val="0010304F"/>
    <w:rsid w:val="001033C5"/>
    <w:rsid w:val="00103D55"/>
    <w:rsid w:val="00104AB9"/>
    <w:rsid w:val="001052E0"/>
    <w:rsid w:val="001052F8"/>
    <w:rsid w:val="00105964"/>
    <w:rsid w:val="0010626F"/>
    <w:rsid w:val="00106CC9"/>
    <w:rsid w:val="001103CD"/>
    <w:rsid w:val="001105EB"/>
    <w:rsid w:val="00110A5A"/>
    <w:rsid w:val="00112446"/>
    <w:rsid w:val="00112A67"/>
    <w:rsid w:val="001131AE"/>
    <w:rsid w:val="0011327E"/>
    <w:rsid w:val="00114206"/>
    <w:rsid w:val="00114481"/>
    <w:rsid w:val="0011476F"/>
    <w:rsid w:val="0011592C"/>
    <w:rsid w:val="001162B0"/>
    <w:rsid w:val="00116391"/>
    <w:rsid w:val="001170C7"/>
    <w:rsid w:val="0011721F"/>
    <w:rsid w:val="00117579"/>
    <w:rsid w:val="00120820"/>
    <w:rsid w:val="00120DA5"/>
    <w:rsid w:val="00121FB1"/>
    <w:rsid w:val="0012250E"/>
    <w:rsid w:val="0012324C"/>
    <w:rsid w:val="001236A0"/>
    <w:rsid w:val="001240A6"/>
    <w:rsid w:val="001242B5"/>
    <w:rsid w:val="0012440F"/>
    <w:rsid w:val="0012579B"/>
    <w:rsid w:val="0012616C"/>
    <w:rsid w:val="00126A96"/>
    <w:rsid w:val="00127F77"/>
    <w:rsid w:val="001302A9"/>
    <w:rsid w:val="00130A0A"/>
    <w:rsid w:val="001311F5"/>
    <w:rsid w:val="00132BBC"/>
    <w:rsid w:val="0013329A"/>
    <w:rsid w:val="001337C9"/>
    <w:rsid w:val="00133B9F"/>
    <w:rsid w:val="00133ED4"/>
    <w:rsid w:val="00133F9C"/>
    <w:rsid w:val="00134488"/>
    <w:rsid w:val="00135F20"/>
    <w:rsid w:val="00136415"/>
    <w:rsid w:val="001369E3"/>
    <w:rsid w:val="00137688"/>
    <w:rsid w:val="00137F4F"/>
    <w:rsid w:val="0014032A"/>
    <w:rsid w:val="00140345"/>
    <w:rsid w:val="001412E8"/>
    <w:rsid w:val="00141895"/>
    <w:rsid w:val="00141915"/>
    <w:rsid w:val="00142543"/>
    <w:rsid w:val="001426A3"/>
    <w:rsid w:val="0014467E"/>
    <w:rsid w:val="001449D7"/>
    <w:rsid w:val="001449F6"/>
    <w:rsid w:val="001454ED"/>
    <w:rsid w:val="00145C72"/>
    <w:rsid w:val="0014675E"/>
    <w:rsid w:val="00146ABE"/>
    <w:rsid w:val="00146D98"/>
    <w:rsid w:val="00146E4C"/>
    <w:rsid w:val="001474D1"/>
    <w:rsid w:val="0015032F"/>
    <w:rsid w:val="001505EC"/>
    <w:rsid w:val="00150782"/>
    <w:rsid w:val="00150848"/>
    <w:rsid w:val="00150D7A"/>
    <w:rsid w:val="001511D1"/>
    <w:rsid w:val="00151353"/>
    <w:rsid w:val="00151823"/>
    <w:rsid w:val="00151AF6"/>
    <w:rsid w:val="001528F2"/>
    <w:rsid w:val="00153429"/>
    <w:rsid w:val="00153E62"/>
    <w:rsid w:val="00153EF4"/>
    <w:rsid w:val="00154511"/>
    <w:rsid w:val="00154915"/>
    <w:rsid w:val="00155905"/>
    <w:rsid w:val="001560F1"/>
    <w:rsid w:val="0015732A"/>
    <w:rsid w:val="00157645"/>
    <w:rsid w:val="00157FE7"/>
    <w:rsid w:val="001610E5"/>
    <w:rsid w:val="001613DF"/>
    <w:rsid w:val="0016205C"/>
    <w:rsid w:val="0016229A"/>
    <w:rsid w:val="00162537"/>
    <w:rsid w:val="001627D3"/>
    <w:rsid w:val="00163B24"/>
    <w:rsid w:val="00163E00"/>
    <w:rsid w:val="00163E6A"/>
    <w:rsid w:val="001644A0"/>
    <w:rsid w:val="0016451E"/>
    <w:rsid w:val="00164D46"/>
    <w:rsid w:val="001651D4"/>
    <w:rsid w:val="00165DAE"/>
    <w:rsid w:val="00166157"/>
    <w:rsid w:val="001665F8"/>
    <w:rsid w:val="001670CD"/>
    <w:rsid w:val="00167104"/>
    <w:rsid w:val="00170351"/>
    <w:rsid w:val="00170BF7"/>
    <w:rsid w:val="00171A1E"/>
    <w:rsid w:val="00171BD1"/>
    <w:rsid w:val="00172047"/>
    <w:rsid w:val="001721E4"/>
    <w:rsid w:val="00173277"/>
    <w:rsid w:val="0017399C"/>
    <w:rsid w:val="00173EAB"/>
    <w:rsid w:val="00174373"/>
    <w:rsid w:val="00174B3A"/>
    <w:rsid w:val="00174BDB"/>
    <w:rsid w:val="00175092"/>
    <w:rsid w:val="001755C2"/>
    <w:rsid w:val="0017606E"/>
    <w:rsid w:val="001763F3"/>
    <w:rsid w:val="00180050"/>
    <w:rsid w:val="001800FD"/>
    <w:rsid w:val="00180258"/>
    <w:rsid w:val="0018053D"/>
    <w:rsid w:val="00180607"/>
    <w:rsid w:val="0018083A"/>
    <w:rsid w:val="001839EF"/>
    <w:rsid w:val="00184325"/>
    <w:rsid w:val="00184473"/>
    <w:rsid w:val="001849C1"/>
    <w:rsid w:val="00185774"/>
    <w:rsid w:val="00185AA9"/>
    <w:rsid w:val="00186D1F"/>
    <w:rsid w:val="00186D92"/>
    <w:rsid w:val="001873EA"/>
    <w:rsid w:val="00187600"/>
    <w:rsid w:val="00187937"/>
    <w:rsid w:val="0019081E"/>
    <w:rsid w:val="0019122B"/>
    <w:rsid w:val="00191E56"/>
    <w:rsid w:val="00192730"/>
    <w:rsid w:val="00192C4C"/>
    <w:rsid w:val="00194164"/>
    <w:rsid w:val="001942DB"/>
    <w:rsid w:val="001946EA"/>
    <w:rsid w:val="00196710"/>
    <w:rsid w:val="00196A22"/>
    <w:rsid w:val="00197BEC"/>
    <w:rsid w:val="001A038A"/>
    <w:rsid w:val="001A1D02"/>
    <w:rsid w:val="001A2656"/>
    <w:rsid w:val="001A2FAC"/>
    <w:rsid w:val="001A32AC"/>
    <w:rsid w:val="001A3705"/>
    <w:rsid w:val="001A494E"/>
    <w:rsid w:val="001A538D"/>
    <w:rsid w:val="001A6A14"/>
    <w:rsid w:val="001B023C"/>
    <w:rsid w:val="001B052F"/>
    <w:rsid w:val="001B1383"/>
    <w:rsid w:val="001B2C34"/>
    <w:rsid w:val="001B2DB2"/>
    <w:rsid w:val="001B2E4E"/>
    <w:rsid w:val="001B4C62"/>
    <w:rsid w:val="001B58A8"/>
    <w:rsid w:val="001B5D7F"/>
    <w:rsid w:val="001B622E"/>
    <w:rsid w:val="001B701F"/>
    <w:rsid w:val="001B7242"/>
    <w:rsid w:val="001B7729"/>
    <w:rsid w:val="001B7E7E"/>
    <w:rsid w:val="001C04F1"/>
    <w:rsid w:val="001C0AD3"/>
    <w:rsid w:val="001C13A0"/>
    <w:rsid w:val="001C25CE"/>
    <w:rsid w:val="001C2A16"/>
    <w:rsid w:val="001C38F4"/>
    <w:rsid w:val="001C39D2"/>
    <w:rsid w:val="001C4961"/>
    <w:rsid w:val="001C4F97"/>
    <w:rsid w:val="001C5603"/>
    <w:rsid w:val="001C680F"/>
    <w:rsid w:val="001C6876"/>
    <w:rsid w:val="001C7216"/>
    <w:rsid w:val="001C73EE"/>
    <w:rsid w:val="001C7AED"/>
    <w:rsid w:val="001D1814"/>
    <w:rsid w:val="001D2121"/>
    <w:rsid w:val="001D2616"/>
    <w:rsid w:val="001D2B9C"/>
    <w:rsid w:val="001D4666"/>
    <w:rsid w:val="001D5286"/>
    <w:rsid w:val="001D72B4"/>
    <w:rsid w:val="001D78FB"/>
    <w:rsid w:val="001D7E66"/>
    <w:rsid w:val="001E0784"/>
    <w:rsid w:val="001E0FC4"/>
    <w:rsid w:val="001E1540"/>
    <w:rsid w:val="001E15E1"/>
    <w:rsid w:val="001E1955"/>
    <w:rsid w:val="001E1E76"/>
    <w:rsid w:val="001E20BA"/>
    <w:rsid w:val="001E21EC"/>
    <w:rsid w:val="001E271C"/>
    <w:rsid w:val="001E2D64"/>
    <w:rsid w:val="001E4027"/>
    <w:rsid w:val="001E4A75"/>
    <w:rsid w:val="001E4B70"/>
    <w:rsid w:val="001E4CAA"/>
    <w:rsid w:val="001E5CCC"/>
    <w:rsid w:val="001E63CA"/>
    <w:rsid w:val="001E684E"/>
    <w:rsid w:val="001E7830"/>
    <w:rsid w:val="001E79E9"/>
    <w:rsid w:val="001F049C"/>
    <w:rsid w:val="001F06E8"/>
    <w:rsid w:val="001F2D3C"/>
    <w:rsid w:val="001F38AD"/>
    <w:rsid w:val="001F3B66"/>
    <w:rsid w:val="001F3E61"/>
    <w:rsid w:val="001F4216"/>
    <w:rsid w:val="001F45A7"/>
    <w:rsid w:val="001F5DD5"/>
    <w:rsid w:val="001F6DC5"/>
    <w:rsid w:val="002022F8"/>
    <w:rsid w:val="00203E59"/>
    <w:rsid w:val="002041E7"/>
    <w:rsid w:val="00204622"/>
    <w:rsid w:val="0020638E"/>
    <w:rsid w:val="002065B7"/>
    <w:rsid w:val="00206719"/>
    <w:rsid w:val="002068F0"/>
    <w:rsid w:val="00207107"/>
    <w:rsid w:val="00210256"/>
    <w:rsid w:val="002123EA"/>
    <w:rsid w:val="00213085"/>
    <w:rsid w:val="0021320B"/>
    <w:rsid w:val="0021403B"/>
    <w:rsid w:val="00216156"/>
    <w:rsid w:val="00216607"/>
    <w:rsid w:val="00216C76"/>
    <w:rsid w:val="00216F77"/>
    <w:rsid w:val="00217169"/>
    <w:rsid w:val="0021769D"/>
    <w:rsid w:val="00217896"/>
    <w:rsid w:val="0021792E"/>
    <w:rsid w:val="002179F7"/>
    <w:rsid w:val="00220355"/>
    <w:rsid w:val="002206BE"/>
    <w:rsid w:val="00220FC1"/>
    <w:rsid w:val="002217E2"/>
    <w:rsid w:val="00221E48"/>
    <w:rsid w:val="0022226C"/>
    <w:rsid w:val="00222BD2"/>
    <w:rsid w:val="0022451C"/>
    <w:rsid w:val="00224626"/>
    <w:rsid w:val="00224667"/>
    <w:rsid w:val="00224A65"/>
    <w:rsid w:val="0022512B"/>
    <w:rsid w:val="002254D2"/>
    <w:rsid w:val="00225552"/>
    <w:rsid w:val="00225DF7"/>
    <w:rsid w:val="002260FE"/>
    <w:rsid w:val="00227646"/>
    <w:rsid w:val="00227820"/>
    <w:rsid w:val="00227D34"/>
    <w:rsid w:val="002307D9"/>
    <w:rsid w:val="00230DD0"/>
    <w:rsid w:val="002319BF"/>
    <w:rsid w:val="00232711"/>
    <w:rsid w:val="002333F9"/>
    <w:rsid w:val="002336D0"/>
    <w:rsid w:val="00233861"/>
    <w:rsid w:val="002338A8"/>
    <w:rsid w:val="002345DB"/>
    <w:rsid w:val="00236EBB"/>
    <w:rsid w:val="00237101"/>
    <w:rsid w:val="0023782D"/>
    <w:rsid w:val="00240038"/>
    <w:rsid w:val="0024033B"/>
    <w:rsid w:val="002403F4"/>
    <w:rsid w:val="00241380"/>
    <w:rsid w:val="0024273E"/>
    <w:rsid w:val="002431CF"/>
    <w:rsid w:val="00244CF5"/>
    <w:rsid w:val="00244D65"/>
    <w:rsid w:val="002453BD"/>
    <w:rsid w:val="0024580F"/>
    <w:rsid w:val="002460F3"/>
    <w:rsid w:val="002465A5"/>
    <w:rsid w:val="002465AA"/>
    <w:rsid w:val="00246C09"/>
    <w:rsid w:val="0024716B"/>
    <w:rsid w:val="00247A32"/>
    <w:rsid w:val="00247BAE"/>
    <w:rsid w:val="00247EBE"/>
    <w:rsid w:val="00247F39"/>
    <w:rsid w:val="002519AB"/>
    <w:rsid w:val="00251CC9"/>
    <w:rsid w:val="0025237E"/>
    <w:rsid w:val="00252DCD"/>
    <w:rsid w:val="00252E35"/>
    <w:rsid w:val="00253256"/>
    <w:rsid w:val="00253EDF"/>
    <w:rsid w:val="00254634"/>
    <w:rsid w:val="00254F09"/>
    <w:rsid w:val="00255CCB"/>
    <w:rsid w:val="002562C1"/>
    <w:rsid w:val="00256804"/>
    <w:rsid w:val="002570DA"/>
    <w:rsid w:val="002578E2"/>
    <w:rsid w:val="00262A02"/>
    <w:rsid w:val="00262DAB"/>
    <w:rsid w:val="00263865"/>
    <w:rsid w:val="00263CC4"/>
    <w:rsid w:val="00264918"/>
    <w:rsid w:val="00265786"/>
    <w:rsid w:val="00267060"/>
    <w:rsid w:val="002672F6"/>
    <w:rsid w:val="00267901"/>
    <w:rsid w:val="0027004C"/>
    <w:rsid w:val="002702D1"/>
    <w:rsid w:val="00270335"/>
    <w:rsid w:val="0027126E"/>
    <w:rsid w:val="00271CC4"/>
    <w:rsid w:val="00271E4A"/>
    <w:rsid w:val="00274D66"/>
    <w:rsid w:val="00276266"/>
    <w:rsid w:val="00276D47"/>
    <w:rsid w:val="002771D2"/>
    <w:rsid w:val="0027721A"/>
    <w:rsid w:val="00277BFD"/>
    <w:rsid w:val="00281F79"/>
    <w:rsid w:val="00281F80"/>
    <w:rsid w:val="002836A5"/>
    <w:rsid w:val="002843E1"/>
    <w:rsid w:val="00286018"/>
    <w:rsid w:val="00286694"/>
    <w:rsid w:val="00286BC8"/>
    <w:rsid w:val="00287932"/>
    <w:rsid w:val="00287B67"/>
    <w:rsid w:val="00287ECD"/>
    <w:rsid w:val="00290402"/>
    <w:rsid w:val="002905EE"/>
    <w:rsid w:val="00290E34"/>
    <w:rsid w:val="00291639"/>
    <w:rsid w:val="00291749"/>
    <w:rsid w:val="00291F22"/>
    <w:rsid w:val="0029284C"/>
    <w:rsid w:val="002932A8"/>
    <w:rsid w:val="002935E2"/>
    <w:rsid w:val="0029372B"/>
    <w:rsid w:val="002951B5"/>
    <w:rsid w:val="00295712"/>
    <w:rsid w:val="00295AA0"/>
    <w:rsid w:val="00295C50"/>
    <w:rsid w:val="00296559"/>
    <w:rsid w:val="00296F86"/>
    <w:rsid w:val="002A03E7"/>
    <w:rsid w:val="002A0AA7"/>
    <w:rsid w:val="002A0DEE"/>
    <w:rsid w:val="002A129A"/>
    <w:rsid w:val="002A1A40"/>
    <w:rsid w:val="002A2AD9"/>
    <w:rsid w:val="002A4D39"/>
    <w:rsid w:val="002A6DC4"/>
    <w:rsid w:val="002A6E8B"/>
    <w:rsid w:val="002A7D6C"/>
    <w:rsid w:val="002B3086"/>
    <w:rsid w:val="002B4044"/>
    <w:rsid w:val="002B4947"/>
    <w:rsid w:val="002B4D58"/>
    <w:rsid w:val="002B5942"/>
    <w:rsid w:val="002B65D4"/>
    <w:rsid w:val="002B65F3"/>
    <w:rsid w:val="002B6A6F"/>
    <w:rsid w:val="002B6E0E"/>
    <w:rsid w:val="002B7450"/>
    <w:rsid w:val="002B7C9F"/>
    <w:rsid w:val="002B7F91"/>
    <w:rsid w:val="002C15CE"/>
    <w:rsid w:val="002C203F"/>
    <w:rsid w:val="002C2127"/>
    <w:rsid w:val="002C2B21"/>
    <w:rsid w:val="002C35EC"/>
    <w:rsid w:val="002C40B0"/>
    <w:rsid w:val="002C45FD"/>
    <w:rsid w:val="002C48B9"/>
    <w:rsid w:val="002C4DC1"/>
    <w:rsid w:val="002C50D3"/>
    <w:rsid w:val="002C56BA"/>
    <w:rsid w:val="002C6F3F"/>
    <w:rsid w:val="002C70CC"/>
    <w:rsid w:val="002C76F7"/>
    <w:rsid w:val="002D0274"/>
    <w:rsid w:val="002D0A0A"/>
    <w:rsid w:val="002D13F0"/>
    <w:rsid w:val="002D1B24"/>
    <w:rsid w:val="002D263A"/>
    <w:rsid w:val="002D29F0"/>
    <w:rsid w:val="002D2A8C"/>
    <w:rsid w:val="002D301C"/>
    <w:rsid w:val="002D3160"/>
    <w:rsid w:val="002D33E8"/>
    <w:rsid w:val="002D341C"/>
    <w:rsid w:val="002D3C6D"/>
    <w:rsid w:val="002D3E71"/>
    <w:rsid w:val="002D4D06"/>
    <w:rsid w:val="002D5807"/>
    <w:rsid w:val="002D610C"/>
    <w:rsid w:val="002D620A"/>
    <w:rsid w:val="002D637B"/>
    <w:rsid w:val="002D6F9B"/>
    <w:rsid w:val="002D727E"/>
    <w:rsid w:val="002D75F5"/>
    <w:rsid w:val="002D763D"/>
    <w:rsid w:val="002E04E8"/>
    <w:rsid w:val="002E11C8"/>
    <w:rsid w:val="002E273E"/>
    <w:rsid w:val="002E3049"/>
    <w:rsid w:val="002E4FAB"/>
    <w:rsid w:val="002E543F"/>
    <w:rsid w:val="002E56A2"/>
    <w:rsid w:val="002E6CFF"/>
    <w:rsid w:val="002E7CFB"/>
    <w:rsid w:val="002F00D7"/>
    <w:rsid w:val="002F0BE2"/>
    <w:rsid w:val="002F0E13"/>
    <w:rsid w:val="002F1F0D"/>
    <w:rsid w:val="002F284E"/>
    <w:rsid w:val="002F3CB4"/>
    <w:rsid w:val="002F47D2"/>
    <w:rsid w:val="002F4974"/>
    <w:rsid w:val="002F49C3"/>
    <w:rsid w:val="002F4CB1"/>
    <w:rsid w:val="002F56B6"/>
    <w:rsid w:val="002F5A84"/>
    <w:rsid w:val="002F695F"/>
    <w:rsid w:val="002F7C2C"/>
    <w:rsid w:val="00302AAE"/>
    <w:rsid w:val="003038A9"/>
    <w:rsid w:val="00303987"/>
    <w:rsid w:val="00305403"/>
    <w:rsid w:val="003056E2"/>
    <w:rsid w:val="003057FC"/>
    <w:rsid w:val="00305A3E"/>
    <w:rsid w:val="003061FD"/>
    <w:rsid w:val="0030677C"/>
    <w:rsid w:val="00307356"/>
    <w:rsid w:val="00307D01"/>
    <w:rsid w:val="00310515"/>
    <w:rsid w:val="00310A8E"/>
    <w:rsid w:val="00310C80"/>
    <w:rsid w:val="00310DC1"/>
    <w:rsid w:val="00310EAD"/>
    <w:rsid w:val="00311254"/>
    <w:rsid w:val="00311A64"/>
    <w:rsid w:val="0031269E"/>
    <w:rsid w:val="00312992"/>
    <w:rsid w:val="00313436"/>
    <w:rsid w:val="003138BE"/>
    <w:rsid w:val="00313B89"/>
    <w:rsid w:val="00313E7B"/>
    <w:rsid w:val="0031506E"/>
    <w:rsid w:val="003157C1"/>
    <w:rsid w:val="0031586C"/>
    <w:rsid w:val="0031624F"/>
    <w:rsid w:val="0031666B"/>
    <w:rsid w:val="00316858"/>
    <w:rsid w:val="003173E1"/>
    <w:rsid w:val="0031747F"/>
    <w:rsid w:val="0031778B"/>
    <w:rsid w:val="00320542"/>
    <w:rsid w:val="00322AE0"/>
    <w:rsid w:val="0032327A"/>
    <w:rsid w:val="003233F4"/>
    <w:rsid w:val="003233FF"/>
    <w:rsid w:val="00323F34"/>
    <w:rsid w:val="00324844"/>
    <w:rsid w:val="0032485E"/>
    <w:rsid w:val="00324E10"/>
    <w:rsid w:val="00325080"/>
    <w:rsid w:val="003250BB"/>
    <w:rsid w:val="003253C6"/>
    <w:rsid w:val="00325872"/>
    <w:rsid w:val="00325A78"/>
    <w:rsid w:val="00325BC6"/>
    <w:rsid w:val="00326BB8"/>
    <w:rsid w:val="00326E85"/>
    <w:rsid w:val="00327863"/>
    <w:rsid w:val="00330AE9"/>
    <w:rsid w:val="00330F97"/>
    <w:rsid w:val="00332812"/>
    <w:rsid w:val="003333CA"/>
    <w:rsid w:val="00333D90"/>
    <w:rsid w:val="0033469E"/>
    <w:rsid w:val="00334985"/>
    <w:rsid w:val="00334B40"/>
    <w:rsid w:val="003351A4"/>
    <w:rsid w:val="003354DF"/>
    <w:rsid w:val="003355E3"/>
    <w:rsid w:val="003356E4"/>
    <w:rsid w:val="00335D43"/>
    <w:rsid w:val="00336AFA"/>
    <w:rsid w:val="00336FCC"/>
    <w:rsid w:val="003403FD"/>
    <w:rsid w:val="00340C76"/>
    <w:rsid w:val="00340CA1"/>
    <w:rsid w:val="00341560"/>
    <w:rsid w:val="00341CB4"/>
    <w:rsid w:val="00342E22"/>
    <w:rsid w:val="00342F04"/>
    <w:rsid w:val="00344531"/>
    <w:rsid w:val="0034518F"/>
    <w:rsid w:val="00345CF9"/>
    <w:rsid w:val="00346800"/>
    <w:rsid w:val="00346CE2"/>
    <w:rsid w:val="00346E46"/>
    <w:rsid w:val="003479F0"/>
    <w:rsid w:val="00352169"/>
    <w:rsid w:val="00352748"/>
    <w:rsid w:val="00352749"/>
    <w:rsid w:val="00352E9D"/>
    <w:rsid w:val="00353A73"/>
    <w:rsid w:val="00354B90"/>
    <w:rsid w:val="0035533D"/>
    <w:rsid w:val="003559E4"/>
    <w:rsid w:val="00355C9A"/>
    <w:rsid w:val="00355FDC"/>
    <w:rsid w:val="0035631B"/>
    <w:rsid w:val="00356BF7"/>
    <w:rsid w:val="00356F9B"/>
    <w:rsid w:val="00357249"/>
    <w:rsid w:val="0035739A"/>
    <w:rsid w:val="00357637"/>
    <w:rsid w:val="003579AF"/>
    <w:rsid w:val="00357D09"/>
    <w:rsid w:val="003603BB"/>
    <w:rsid w:val="003604BB"/>
    <w:rsid w:val="00360545"/>
    <w:rsid w:val="0036117A"/>
    <w:rsid w:val="0036276E"/>
    <w:rsid w:val="00362CEC"/>
    <w:rsid w:val="00363A05"/>
    <w:rsid w:val="00365B6C"/>
    <w:rsid w:val="00365BD6"/>
    <w:rsid w:val="00365C6A"/>
    <w:rsid w:val="00365C9B"/>
    <w:rsid w:val="00365E66"/>
    <w:rsid w:val="00366ACC"/>
    <w:rsid w:val="00366C96"/>
    <w:rsid w:val="00370086"/>
    <w:rsid w:val="003707E9"/>
    <w:rsid w:val="00370F8B"/>
    <w:rsid w:val="003716BF"/>
    <w:rsid w:val="00371AE8"/>
    <w:rsid w:val="0037236A"/>
    <w:rsid w:val="00372A9A"/>
    <w:rsid w:val="003731E9"/>
    <w:rsid w:val="003737A3"/>
    <w:rsid w:val="00373946"/>
    <w:rsid w:val="00373A35"/>
    <w:rsid w:val="003746D6"/>
    <w:rsid w:val="003749EF"/>
    <w:rsid w:val="0037590A"/>
    <w:rsid w:val="003759EF"/>
    <w:rsid w:val="00376183"/>
    <w:rsid w:val="00376AFC"/>
    <w:rsid w:val="00376B2D"/>
    <w:rsid w:val="003771CF"/>
    <w:rsid w:val="003773DF"/>
    <w:rsid w:val="00377D12"/>
    <w:rsid w:val="0038097D"/>
    <w:rsid w:val="00380BEB"/>
    <w:rsid w:val="0038255A"/>
    <w:rsid w:val="00383B2F"/>
    <w:rsid w:val="00383C37"/>
    <w:rsid w:val="00383D44"/>
    <w:rsid w:val="00384296"/>
    <w:rsid w:val="003845D8"/>
    <w:rsid w:val="00384E57"/>
    <w:rsid w:val="00384EA9"/>
    <w:rsid w:val="00384F1D"/>
    <w:rsid w:val="0038558C"/>
    <w:rsid w:val="00385D95"/>
    <w:rsid w:val="003869BF"/>
    <w:rsid w:val="003879B5"/>
    <w:rsid w:val="00387ED9"/>
    <w:rsid w:val="003900AE"/>
    <w:rsid w:val="003902C0"/>
    <w:rsid w:val="00390DFF"/>
    <w:rsid w:val="00391EAF"/>
    <w:rsid w:val="00391F53"/>
    <w:rsid w:val="003934F7"/>
    <w:rsid w:val="0039395E"/>
    <w:rsid w:val="00394A0C"/>
    <w:rsid w:val="003957D0"/>
    <w:rsid w:val="00395A4F"/>
    <w:rsid w:val="00395AC6"/>
    <w:rsid w:val="00396A46"/>
    <w:rsid w:val="00396EC8"/>
    <w:rsid w:val="00397788"/>
    <w:rsid w:val="00397A91"/>
    <w:rsid w:val="00397FEE"/>
    <w:rsid w:val="003A07F6"/>
    <w:rsid w:val="003A0C92"/>
    <w:rsid w:val="003A0CD2"/>
    <w:rsid w:val="003A171D"/>
    <w:rsid w:val="003A22F5"/>
    <w:rsid w:val="003A23E4"/>
    <w:rsid w:val="003A2B7F"/>
    <w:rsid w:val="003A3718"/>
    <w:rsid w:val="003A3B06"/>
    <w:rsid w:val="003A3BD3"/>
    <w:rsid w:val="003A4086"/>
    <w:rsid w:val="003A44DB"/>
    <w:rsid w:val="003A5A8F"/>
    <w:rsid w:val="003A5D05"/>
    <w:rsid w:val="003A6DFE"/>
    <w:rsid w:val="003A744D"/>
    <w:rsid w:val="003A7CDA"/>
    <w:rsid w:val="003B0BF1"/>
    <w:rsid w:val="003B0E5F"/>
    <w:rsid w:val="003B2150"/>
    <w:rsid w:val="003B22A1"/>
    <w:rsid w:val="003B40E8"/>
    <w:rsid w:val="003B46CD"/>
    <w:rsid w:val="003B529F"/>
    <w:rsid w:val="003B54CD"/>
    <w:rsid w:val="003B5802"/>
    <w:rsid w:val="003B5BD7"/>
    <w:rsid w:val="003B64B0"/>
    <w:rsid w:val="003B671B"/>
    <w:rsid w:val="003B6904"/>
    <w:rsid w:val="003B70A3"/>
    <w:rsid w:val="003B7B6A"/>
    <w:rsid w:val="003B7FE9"/>
    <w:rsid w:val="003C12A1"/>
    <w:rsid w:val="003C2057"/>
    <w:rsid w:val="003C2525"/>
    <w:rsid w:val="003C2918"/>
    <w:rsid w:val="003C2BF2"/>
    <w:rsid w:val="003C3EB0"/>
    <w:rsid w:val="003C4999"/>
    <w:rsid w:val="003C520A"/>
    <w:rsid w:val="003C523A"/>
    <w:rsid w:val="003C603F"/>
    <w:rsid w:val="003C6F38"/>
    <w:rsid w:val="003C71AC"/>
    <w:rsid w:val="003C7270"/>
    <w:rsid w:val="003C7435"/>
    <w:rsid w:val="003D03F6"/>
    <w:rsid w:val="003D0F41"/>
    <w:rsid w:val="003D210A"/>
    <w:rsid w:val="003D2786"/>
    <w:rsid w:val="003D2847"/>
    <w:rsid w:val="003D3DA4"/>
    <w:rsid w:val="003D5773"/>
    <w:rsid w:val="003D680A"/>
    <w:rsid w:val="003D6878"/>
    <w:rsid w:val="003D703D"/>
    <w:rsid w:val="003D79FB"/>
    <w:rsid w:val="003E088E"/>
    <w:rsid w:val="003E1BDC"/>
    <w:rsid w:val="003E2B63"/>
    <w:rsid w:val="003E2E4E"/>
    <w:rsid w:val="003E3233"/>
    <w:rsid w:val="003E375F"/>
    <w:rsid w:val="003E382C"/>
    <w:rsid w:val="003E3A16"/>
    <w:rsid w:val="003E61B8"/>
    <w:rsid w:val="003F1AAB"/>
    <w:rsid w:val="003F1CA2"/>
    <w:rsid w:val="003F1CA5"/>
    <w:rsid w:val="003F2300"/>
    <w:rsid w:val="003F24BA"/>
    <w:rsid w:val="003F2613"/>
    <w:rsid w:val="003F2E9E"/>
    <w:rsid w:val="003F4B3D"/>
    <w:rsid w:val="003F50A2"/>
    <w:rsid w:val="003F677C"/>
    <w:rsid w:val="003F6DDC"/>
    <w:rsid w:val="003F78C1"/>
    <w:rsid w:val="003F7A08"/>
    <w:rsid w:val="003F7C11"/>
    <w:rsid w:val="004003B1"/>
    <w:rsid w:val="00400FD5"/>
    <w:rsid w:val="00401A6A"/>
    <w:rsid w:val="00403617"/>
    <w:rsid w:val="004036E4"/>
    <w:rsid w:val="0040376D"/>
    <w:rsid w:val="0040435B"/>
    <w:rsid w:val="0040441A"/>
    <w:rsid w:val="00404B45"/>
    <w:rsid w:val="00405910"/>
    <w:rsid w:val="004063B2"/>
    <w:rsid w:val="00406C13"/>
    <w:rsid w:val="004071F0"/>
    <w:rsid w:val="00407339"/>
    <w:rsid w:val="00407801"/>
    <w:rsid w:val="00407CC9"/>
    <w:rsid w:val="00410326"/>
    <w:rsid w:val="00411D19"/>
    <w:rsid w:val="004136AF"/>
    <w:rsid w:val="004145F8"/>
    <w:rsid w:val="0041479E"/>
    <w:rsid w:val="0041509B"/>
    <w:rsid w:val="00415108"/>
    <w:rsid w:val="004165A7"/>
    <w:rsid w:val="00416B98"/>
    <w:rsid w:val="00416F63"/>
    <w:rsid w:val="00417F84"/>
    <w:rsid w:val="0042084A"/>
    <w:rsid w:val="00420ADF"/>
    <w:rsid w:val="00420ECC"/>
    <w:rsid w:val="004211C1"/>
    <w:rsid w:val="00421AB1"/>
    <w:rsid w:val="00423303"/>
    <w:rsid w:val="004234B9"/>
    <w:rsid w:val="00423745"/>
    <w:rsid w:val="00423997"/>
    <w:rsid w:val="00425E83"/>
    <w:rsid w:val="00431FA3"/>
    <w:rsid w:val="0043305E"/>
    <w:rsid w:val="0043354A"/>
    <w:rsid w:val="0043414A"/>
    <w:rsid w:val="00435213"/>
    <w:rsid w:val="004366BA"/>
    <w:rsid w:val="00436708"/>
    <w:rsid w:val="00436E56"/>
    <w:rsid w:val="004374E8"/>
    <w:rsid w:val="00437538"/>
    <w:rsid w:val="00437583"/>
    <w:rsid w:val="0044166F"/>
    <w:rsid w:val="00441E5C"/>
    <w:rsid w:val="0044273B"/>
    <w:rsid w:val="00442BA8"/>
    <w:rsid w:val="0044316B"/>
    <w:rsid w:val="00443B27"/>
    <w:rsid w:val="00443B5C"/>
    <w:rsid w:val="00443CE5"/>
    <w:rsid w:val="00444FF1"/>
    <w:rsid w:val="00445B38"/>
    <w:rsid w:val="00446D96"/>
    <w:rsid w:val="00446F2D"/>
    <w:rsid w:val="004479CE"/>
    <w:rsid w:val="00450B0F"/>
    <w:rsid w:val="004513DA"/>
    <w:rsid w:val="004520F2"/>
    <w:rsid w:val="004522B2"/>
    <w:rsid w:val="004526D0"/>
    <w:rsid w:val="004526DA"/>
    <w:rsid w:val="00453206"/>
    <w:rsid w:val="00453D91"/>
    <w:rsid w:val="00453EE9"/>
    <w:rsid w:val="00453EF0"/>
    <w:rsid w:val="00454620"/>
    <w:rsid w:val="00454D23"/>
    <w:rsid w:val="004559DE"/>
    <w:rsid w:val="00455F2B"/>
    <w:rsid w:val="00455F84"/>
    <w:rsid w:val="00456091"/>
    <w:rsid w:val="00456A3E"/>
    <w:rsid w:val="00456C5C"/>
    <w:rsid w:val="00457CE9"/>
    <w:rsid w:val="00457D97"/>
    <w:rsid w:val="00460C64"/>
    <w:rsid w:val="004624C7"/>
    <w:rsid w:val="00462C01"/>
    <w:rsid w:val="00462F4A"/>
    <w:rsid w:val="004632C8"/>
    <w:rsid w:val="00463BC7"/>
    <w:rsid w:val="00463C07"/>
    <w:rsid w:val="004644A7"/>
    <w:rsid w:val="004657CE"/>
    <w:rsid w:val="00467413"/>
    <w:rsid w:val="0046786C"/>
    <w:rsid w:val="004700D1"/>
    <w:rsid w:val="004708AD"/>
    <w:rsid w:val="00471407"/>
    <w:rsid w:val="0047197D"/>
    <w:rsid w:val="00471A18"/>
    <w:rsid w:val="00472ED9"/>
    <w:rsid w:val="0047362F"/>
    <w:rsid w:val="004738CB"/>
    <w:rsid w:val="004743D1"/>
    <w:rsid w:val="00474885"/>
    <w:rsid w:val="0047520B"/>
    <w:rsid w:val="00475B73"/>
    <w:rsid w:val="00475C28"/>
    <w:rsid w:val="00475E06"/>
    <w:rsid w:val="00476635"/>
    <w:rsid w:val="00477D39"/>
    <w:rsid w:val="004803C1"/>
    <w:rsid w:val="004806B2"/>
    <w:rsid w:val="00480F8C"/>
    <w:rsid w:val="004821A4"/>
    <w:rsid w:val="004838E4"/>
    <w:rsid w:val="004840E0"/>
    <w:rsid w:val="004842D7"/>
    <w:rsid w:val="00484FAB"/>
    <w:rsid w:val="00485173"/>
    <w:rsid w:val="00485795"/>
    <w:rsid w:val="0048603F"/>
    <w:rsid w:val="00486B7B"/>
    <w:rsid w:val="00486C2B"/>
    <w:rsid w:val="00487B7A"/>
    <w:rsid w:val="00487F0E"/>
    <w:rsid w:val="0049241F"/>
    <w:rsid w:val="00492C8A"/>
    <w:rsid w:val="00494BA4"/>
    <w:rsid w:val="00495484"/>
    <w:rsid w:val="00495A77"/>
    <w:rsid w:val="00495EA5"/>
    <w:rsid w:val="0049641A"/>
    <w:rsid w:val="0049655E"/>
    <w:rsid w:val="00496811"/>
    <w:rsid w:val="00497C80"/>
    <w:rsid w:val="004A0031"/>
    <w:rsid w:val="004A057C"/>
    <w:rsid w:val="004A0647"/>
    <w:rsid w:val="004A136F"/>
    <w:rsid w:val="004A1EA8"/>
    <w:rsid w:val="004A1FF6"/>
    <w:rsid w:val="004A22C8"/>
    <w:rsid w:val="004A233C"/>
    <w:rsid w:val="004A2455"/>
    <w:rsid w:val="004A24BB"/>
    <w:rsid w:val="004A2A20"/>
    <w:rsid w:val="004A3DBB"/>
    <w:rsid w:val="004A4514"/>
    <w:rsid w:val="004A5444"/>
    <w:rsid w:val="004A569F"/>
    <w:rsid w:val="004A5DEB"/>
    <w:rsid w:val="004A7447"/>
    <w:rsid w:val="004A7D5B"/>
    <w:rsid w:val="004A7F7A"/>
    <w:rsid w:val="004B1AE3"/>
    <w:rsid w:val="004B1FA2"/>
    <w:rsid w:val="004B1FBB"/>
    <w:rsid w:val="004B27D1"/>
    <w:rsid w:val="004B2ADA"/>
    <w:rsid w:val="004B3431"/>
    <w:rsid w:val="004B3837"/>
    <w:rsid w:val="004B3FD9"/>
    <w:rsid w:val="004B4D1F"/>
    <w:rsid w:val="004B4D41"/>
    <w:rsid w:val="004B6059"/>
    <w:rsid w:val="004C249A"/>
    <w:rsid w:val="004C29BC"/>
    <w:rsid w:val="004C3021"/>
    <w:rsid w:val="004C312E"/>
    <w:rsid w:val="004C3361"/>
    <w:rsid w:val="004C3971"/>
    <w:rsid w:val="004C5905"/>
    <w:rsid w:val="004C5B4D"/>
    <w:rsid w:val="004C5E36"/>
    <w:rsid w:val="004C5E49"/>
    <w:rsid w:val="004C5ECF"/>
    <w:rsid w:val="004C6A3B"/>
    <w:rsid w:val="004C7024"/>
    <w:rsid w:val="004C70EA"/>
    <w:rsid w:val="004D047F"/>
    <w:rsid w:val="004D0A8C"/>
    <w:rsid w:val="004D104E"/>
    <w:rsid w:val="004D18A2"/>
    <w:rsid w:val="004D197B"/>
    <w:rsid w:val="004D21E3"/>
    <w:rsid w:val="004D2737"/>
    <w:rsid w:val="004D2EAC"/>
    <w:rsid w:val="004D48CB"/>
    <w:rsid w:val="004D4D49"/>
    <w:rsid w:val="004D5BF6"/>
    <w:rsid w:val="004D5F89"/>
    <w:rsid w:val="004D7E78"/>
    <w:rsid w:val="004E06D8"/>
    <w:rsid w:val="004E0708"/>
    <w:rsid w:val="004E14E1"/>
    <w:rsid w:val="004E162B"/>
    <w:rsid w:val="004E1E3B"/>
    <w:rsid w:val="004E22DE"/>
    <w:rsid w:val="004E28CF"/>
    <w:rsid w:val="004E3013"/>
    <w:rsid w:val="004E42EB"/>
    <w:rsid w:val="004E47C8"/>
    <w:rsid w:val="004E51E3"/>
    <w:rsid w:val="004E537A"/>
    <w:rsid w:val="004E6664"/>
    <w:rsid w:val="004E6772"/>
    <w:rsid w:val="004E75E5"/>
    <w:rsid w:val="004E786D"/>
    <w:rsid w:val="004F040B"/>
    <w:rsid w:val="004F130A"/>
    <w:rsid w:val="004F15F3"/>
    <w:rsid w:val="004F1A96"/>
    <w:rsid w:val="004F1BF2"/>
    <w:rsid w:val="004F1EEF"/>
    <w:rsid w:val="004F20C5"/>
    <w:rsid w:val="004F2308"/>
    <w:rsid w:val="004F353D"/>
    <w:rsid w:val="004F3712"/>
    <w:rsid w:val="004F3827"/>
    <w:rsid w:val="004F49D6"/>
    <w:rsid w:val="004F5297"/>
    <w:rsid w:val="004F761C"/>
    <w:rsid w:val="004F7DF3"/>
    <w:rsid w:val="00500CCD"/>
    <w:rsid w:val="00500D2D"/>
    <w:rsid w:val="00501AF7"/>
    <w:rsid w:val="0050296B"/>
    <w:rsid w:val="005032C1"/>
    <w:rsid w:val="00503616"/>
    <w:rsid w:val="00503AC0"/>
    <w:rsid w:val="00504DF6"/>
    <w:rsid w:val="0050564C"/>
    <w:rsid w:val="00505C4D"/>
    <w:rsid w:val="00506440"/>
    <w:rsid w:val="00506529"/>
    <w:rsid w:val="00506BA8"/>
    <w:rsid w:val="00507E7E"/>
    <w:rsid w:val="00507F28"/>
    <w:rsid w:val="00507FF4"/>
    <w:rsid w:val="005107A4"/>
    <w:rsid w:val="00510A3A"/>
    <w:rsid w:val="00510DD2"/>
    <w:rsid w:val="0051105C"/>
    <w:rsid w:val="00511567"/>
    <w:rsid w:val="00512557"/>
    <w:rsid w:val="0051295E"/>
    <w:rsid w:val="0051297F"/>
    <w:rsid w:val="00512DB9"/>
    <w:rsid w:val="00512F1D"/>
    <w:rsid w:val="0051376C"/>
    <w:rsid w:val="00513F3B"/>
    <w:rsid w:val="0051416F"/>
    <w:rsid w:val="0051509D"/>
    <w:rsid w:val="005150FF"/>
    <w:rsid w:val="00515946"/>
    <w:rsid w:val="00515C43"/>
    <w:rsid w:val="005171F4"/>
    <w:rsid w:val="005171FA"/>
    <w:rsid w:val="00517EEE"/>
    <w:rsid w:val="00520C1A"/>
    <w:rsid w:val="00522B8D"/>
    <w:rsid w:val="00523862"/>
    <w:rsid w:val="005241F6"/>
    <w:rsid w:val="0052452F"/>
    <w:rsid w:val="0052520D"/>
    <w:rsid w:val="0052577A"/>
    <w:rsid w:val="005259B5"/>
    <w:rsid w:val="00526625"/>
    <w:rsid w:val="00526CDE"/>
    <w:rsid w:val="00526D50"/>
    <w:rsid w:val="00527297"/>
    <w:rsid w:val="005274A5"/>
    <w:rsid w:val="00527585"/>
    <w:rsid w:val="005275E4"/>
    <w:rsid w:val="00531649"/>
    <w:rsid w:val="005325D4"/>
    <w:rsid w:val="005325DF"/>
    <w:rsid w:val="00532C1D"/>
    <w:rsid w:val="005342B8"/>
    <w:rsid w:val="0053435E"/>
    <w:rsid w:val="005352DE"/>
    <w:rsid w:val="005357FC"/>
    <w:rsid w:val="00535B67"/>
    <w:rsid w:val="00536083"/>
    <w:rsid w:val="0053737C"/>
    <w:rsid w:val="0053781E"/>
    <w:rsid w:val="00541181"/>
    <w:rsid w:val="00541BA6"/>
    <w:rsid w:val="00541EE6"/>
    <w:rsid w:val="00542918"/>
    <w:rsid w:val="00543376"/>
    <w:rsid w:val="00544BC9"/>
    <w:rsid w:val="00544D08"/>
    <w:rsid w:val="00544D25"/>
    <w:rsid w:val="00545ADD"/>
    <w:rsid w:val="005468DD"/>
    <w:rsid w:val="005469A8"/>
    <w:rsid w:val="00546C18"/>
    <w:rsid w:val="005479A8"/>
    <w:rsid w:val="005504FD"/>
    <w:rsid w:val="00551098"/>
    <w:rsid w:val="00551D1F"/>
    <w:rsid w:val="00551E74"/>
    <w:rsid w:val="00551F53"/>
    <w:rsid w:val="005524D9"/>
    <w:rsid w:val="0055371D"/>
    <w:rsid w:val="00553A22"/>
    <w:rsid w:val="00553B04"/>
    <w:rsid w:val="00553B47"/>
    <w:rsid w:val="00553CE8"/>
    <w:rsid w:val="00553DB2"/>
    <w:rsid w:val="00554253"/>
    <w:rsid w:val="00554B2B"/>
    <w:rsid w:val="00555041"/>
    <w:rsid w:val="0055518C"/>
    <w:rsid w:val="005553CF"/>
    <w:rsid w:val="00555688"/>
    <w:rsid w:val="0055583F"/>
    <w:rsid w:val="00556EE5"/>
    <w:rsid w:val="0055725A"/>
    <w:rsid w:val="00560223"/>
    <w:rsid w:val="00560245"/>
    <w:rsid w:val="00560307"/>
    <w:rsid w:val="00560426"/>
    <w:rsid w:val="005604B3"/>
    <w:rsid w:val="00560CF6"/>
    <w:rsid w:val="00561844"/>
    <w:rsid w:val="00561D1F"/>
    <w:rsid w:val="00561E3F"/>
    <w:rsid w:val="0056380E"/>
    <w:rsid w:val="00564754"/>
    <w:rsid w:val="00566AE6"/>
    <w:rsid w:val="00570D12"/>
    <w:rsid w:val="005717BE"/>
    <w:rsid w:val="0057278C"/>
    <w:rsid w:val="00573BC4"/>
    <w:rsid w:val="005744A1"/>
    <w:rsid w:val="00574EC4"/>
    <w:rsid w:val="0057557C"/>
    <w:rsid w:val="005760A7"/>
    <w:rsid w:val="00577A9A"/>
    <w:rsid w:val="00577CA1"/>
    <w:rsid w:val="00581A2E"/>
    <w:rsid w:val="00582BE2"/>
    <w:rsid w:val="00582E3D"/>
    <w:rsid w:val="0058327F"/>
    <w:rsid w:val="00583361"/>
    <w:rsid w:val="005838B2"/>
    <w:rsid w:val="00583F1A"/>
    <w:rsid w:val="005844F0"/>
    <w:rsid w:val="00584E0E"/>
    <w:rsid w:val="00585BD3"/>
    <w:rsid w:val="0058609E"/>
    <w:rsid w:val="005864E5"/>
    <w:rsid w:val="005904DF"/>
    <w:rsid w:val="00590565"/>
    <w:rsid w:val="005907FF"/>
    <w:rsid w:val="00590B4C"/>
    <w:rsid w:val="00591629"/>
    <w:rsid w:val="00591706"/>
    <w:rsid w:val="005918FB"/>
    <w:rsid w:val="00591DB9"/>
    <w:rsid w:val="00591ECB"/>
    <w:rsid w:val="00591FFB"/>
    <w:rsid w:val="005924AB"/>
    <w:rsid w:val="005929F6"/>
    <w:rsid w:val="005951EB"/>
    <w:rsid w:val="005956EF"/>
    <w:rsid w:val="00596B13"/>
    <w:rsid w:val="00597153"/>
    <w:rsid w:val="005A09A4"/>
    <w:rsid w:val="005A1645"/>
    <w:rsid w:val="005A2DD8"/>
    <w:rsid w:val="005A2E5E"/>
    <w:rsid w:val="005A37B3"/>
    <w:rsid w:val="005A3BF8"/>
    <w:rsid w:val="005A3C01"/>
    <w:rsid w:val="005A3CB8"/>
    <w:rsid w:val="005A540A"/>
    <w:rsid w:val="005A542D"/>
    <w:rsid w:val="005A7950"/>
    <w:rsid w:val="005A7E59"/>
    <w:rsid w:val="005B0289"/>
    <w:rsid w:val="005B1188"/>
    <w:rsid w:val="005B11A9"/>
    <w:rsid w:val="005B2E11"/>
    <w:rsid w:val="005B35FB"/>
    <w:rsid w:val="005B3C67"/>
    <w:rsid w:val="005B3ED9"/>
    <w:rsid w:val="005B3FE7"/>
    <w:rsid w:val="005B4421"/>
    <w:rsid w:val="005B4433"/>
    <w:rsid w:val="005B46EF"/>
    <w:rsid w:val="005B4DB6"/>
    <w:rsid w:val="005B51F0"/>
    <w:rsid w:val="005B52C7"/>
    <w:rsid w:val="005B5EB0"/>
    <w:rsid w:val="005B6713"/>
    <w:rsid w:val="005B6A72"/>
    <w:rsid w:val="005B780F"/>
    <w:rsid w:val="005C17C6"/>
    <w:rsid w:val="005C1AE8"/>
    <w:rsid w:val="005C2AF4"/>
    <w:rsid w:val="005C2F9D"/>
    <w:rsid w:val="005C3C25"/>
    <w:rsid w:val="005C3CB4"/>
    <w:rsid w:val="005C3D96"/>
    <w:rsid w:val="005C45BA"/>
    <w:rsid w:val="005C4781"/>
    <w:rsid w:val="005C5BAE"/>
    <w:rsid w:val="005C5D21"/>
    <w:rsid w:val="005C64A8"/>
    <w:rsid w:val="005C66B9"/>
    <w:rsid w:val="005C695A"/>
    <w:rsid w:val="005C708D"/>
    <w:rsid w:val="005C77FB"/>
    <w:rsid w:val="005C7FDE"/>
    <w:rsid w:val="005D0F93"/>
    <w:rsid w:val="005D119F"/>
    <w:rsid w:val="005D153B"/>
    <w:rsid w:val="005D15CB"/>
    <w:rsid w:val="005D25A0"/>
    <w:rsid w:val="005D2CD3"/>
    <w:rsid w:val="005D2F6D"/>
    <w:rsid w:val="005D3672"/>
    <w:rsid w:val="005D3BD1"/>
    <w:rsid w:val="005D3FF8"/>
    <w:rsid w:val="005D46C0"/>
    <w:rsid w:val="005D54C6"/>
    <w:rsid w:val="005D5C86"/>
    <w:rsid w:val="005D70A8"/>
    <w:rsid w:val="005D71A2"/>
    <w:rsid w:val="005E13D1"/>
    <w:rsid w:val="005E1851"/>
    <w:rsid w:val="005E2C5F"/>
    <w:rsid w:val="005E2E5E"/>
    <w:rsid w:val="005E31FE"/>
    <w:rsid w:val="005E3A63"/>
    <w:rsid w:val="005E4FEF"/>
    <w:rsid w:val="005E50B7"/>
    <w:rsid w:val="005E614E"/>
    <w:rsid w:val="005E63BF"/>
    <w:rsid w:val="005E6CC7"/>
    <w:rsid w:val="005E71CB"/>
    <w:rsid w:val="005E71EE"/>
    <w:rsid w:val="005E7836"/>
    <w:rsid w:val="005E7CAF"/>
    <w:rsid w:val="005F00D9"/>
    <w:rsid w:val="005F0185"/>
    <w:rsid w:val="005F08C4"/>
    <w:rsid w:val="005F0C79"/>
    <w:rsid w:val="005F0D4C"/>
    <w:rsid w:val="005F11B2"/>
    <w:rsid w:val="005F196D"/>
    <w:rsid w:val="005F249F"/>
    <w:rsid w:val="005F2793"/>
    <w:rsid w:val="005F3261"/>
    <w:rsid w:val="005F3D4D"/>
    <w:rsid w:val="005F41DB"/>
    <w:rsid w:val="005F5907"/>
    <w:rsid w:val="005F605E"/>
    <w:rsid w:val="005F6350"/>
    <w:rsid w:val="005F6578"/>
    <w:rsid w:val="005F6AFC"/>
    <w:rsid w:val="00600658"/>
    <w:rsid w:val="00600A27"/>
    <w:rsid w:val="006013A5"/>
    <w:rsid w:val="00601555"/>
    <w:rsid w:val="00601B5E"/>
    <w:rsid w:val="006026A8"/>
    <w:rsid w:val="0060328D"/>
    <w:rsid w:val="006032E8"/>
    <w:rsid w:val="00603AFD"/>
    <w:rsid w:val="00603F0F"/>
    <w:rsid w:val="0060425E"/>
    <w:rsid w:val="0060528A"/>
    <w:rsid w:val="0060533D"/>
    <w:rsid w:val="00606287"/>
    <w:rsid w:val="00606386"/>
    <w:rsid w:val="006065C2"/>
    <w:rsid w:val="00606680"/>
    <w:rsid w:val="00606CEC"/>
    <w:rsid w:val="00606DDC"/>
    <w:rsid w:val="006074D8"/>
    <w:rsid w:val="0061016A"/>
    <w:rsid w:val="00610489"/>
    <w:rsid w:val="00610508"/>
    <w:rsid w:val="00610D9F"/>
    <w:rsid w:val="00612C88"/>
    <w:rsid w:val="006132CE"/>
    <w:rsid w:val="0061339E"/>
    <w:rsid w:val="00613ABA"/>
    <w:rsid w:val="00613D1A"/>
    <w:rsid w:val="0061476F"/>
    <w:rsid w:val="006148BA"/>
    <w:rsid w:val="00614A82"/>
    <w:rsid w:val="00615322"/>
    <w:rsid w:val="006156E9"/>
    <w:rsid w:val="00615938"/>
    <w:rsid w:val="00615C79"/>
    <w:rsid w:val="00615F56"/>
    <w:rsid w:val="00615F59"/>
    <w:rsid w:val="006170F6"/>
    <w:rsid w:val="006203D1"/>
    <w:rsid w:val="00620918"/>
    <w:rsid w:val="006209B0"/>
    <w:rsid w:val="006217C7"/>
    <w:rsid w:val="00621D8E"/>
    <w:rsid w:val="00622427"/>
    <w:rsid w:val="00623833"/>
    <w:rsid w:val="00623ABE"/>
    <w:rsid w:val="00623CC8"/>
    <w:rsid w:val="006246BE"/>
    <w:rsid w:val="00625555"/>
    <w:rsid w:val="006257A6"/>
    <w:rsid w:val="00625CDD"/>
    <w:rsid w:val="00626870"/>
    <w:rsid w:val="0062688E"/>
    <w:rsid w:val="006271E7"/>
    <w:rsid w:val="006273AA"/>
    <w:rsid w:val="00627D2F"/>
    <w:rsid w:val="006307E0"/>
    <w:rsid w:val="00630F15"/>
    <w:rsid w:val="006311B2"/>
    <w:rsid w:val="00632835"/>
    <w:rsid w:val="00632BE9"/>
    <w:rsid w:val="00632F13"/>
    <w:rsid w:val="00633325"/>
    <w:rsid w:val="00633BF1"/>
    <w:rsid w:val="0063476D"/>
    <w:rsid w:val="00634B46"/>
    <w:rsid w:val="00634F25"/>
    <w:rsid w:val="00636E42"/>
    <w:rsid w:val="00637228"/>
    <w:rsid w:val="00637634"/>
    <w:rsid w:val="006376B1"/>
    <w:rsid w:val="00637747"/>
    <w:rsid w:val="006377C7"/>
    <w:rsid w:val="00637E7E"/>
    <w:rsid w:val="0064078F"/>
    <w:rsid w:val="006415CB"/>
    <w:rsid w:val="006416CF"/>
    <w:rsid w:val="00641FFA"/>
    <w:rsid w:val="00642145"/>
    <w:rsid w:val="00642974"/>
    <w:rsid w:val="00643186"/>
    <w:rsid w:val="006433F0"/>
    <w:rsid w:val="0064378B"/>
    <w:rsid w:val="006437A0"/>
    <w:rsid w:val="00643C59"/>
    <w:rsid w:val="006442DE"/>
    <w:rsid w:val="006464B3"/>
    <w:rsid w:val="00646E52"/>
    <w:rsid w:val="00647804"/>
    <w:rsid w:val="00647B24"/>
    <w:rsid w:val="00650A77"/>
    <w:rsid w:val="0065222C"/>
    <w:rsid w:val="00653973"/>
    <w:rsid w:val="00653A9E"/>
    <w:rsid w:val="006550EE"/>
    <w:rsid w:val="00655F25"/>
    <w:rsid w:val="00656059"/>
    <w:rsid w:val="00656D28"/>
    <w:rsid w:val="0065762C"/>
    <w:rsid w:val="0066134C"/>
    <w:rsid w:val="00661489"/>
    <w:rsid w:val="0066159A"/>
    <w:rsid w:val="006617D4"/>
    <w:rsid w:val="006618F0"/>
    <w:rsid w:val="00661975"/>
    <w:rsid w:val="00661AB0"/>
    <w:rsid w:val="00663BE5"/>
    <w:rsid w:val="00663CD0"/>
    <w:rsid w:val="006644FB"/>
    <w:rsid w:val="0066526C"/>
    <w:rsid w:val="00666009"/>
    <w:rsid w:val="00666775"/>
    <w:rsid w:val="00666DAA"/>
    <w:rsid w:val="00671158"/>
    <w:rsid w:val="0067195F"/>
    <w:rsid w:val="00671AF1"/>
    <w:rsid w:val="006727A1"/>
    <w:rsid w:val="00672854"/>
    <w:rsid w:val="00672DF1"/>
    <w:rsid w:val="00673A56"/>
    <w:rsid w:val="0067478A"/>
    <w:rsid w:val="00674B29"/>
    <w:rsid w:val="00674C70"/>
    <w:rsid w:val="00674DC4"/>
    <w:rsid w:val="00674E74"/>
    <w:rsid w:val="0067524D"/>
    <w:rsid w:val="006766B5"/>
    <w:rsid w:val="0067690A"/>
    <w:rsid w:val="00676B7E"/>
    <w:rsid w:val="00677535"/>
    <w:rsid w:val="00680856"/>
    <w:rsid w:val="00681133"/>
    <w:rsid w:val="00682637"/>
    <w:rsid w:val="00682D86"/>
    <w:rsid w:val="00683325"/>
    <w:rsid w:val="00683956"/>
    <w:rsid w:val="00684422"/>
    <w:rsid w:val="00686632"/>
    <w:rsid w:val="00686C4E"/>
    <w:rsid w:val="006872FE"/>
    <w:rsid w:val="00687793"/>
    <w:rsid w:val="00687DA8"/>
    <w:rsid w:val="006904E0"/>
    <w:rsid w:val="00690A3D"/>
    <w:rsid w:val="00690B59"/>
    <w:rsid w:val="00690BA7"/>
    <w:rsid w:val="00691D65"/>
    <w:rsid w:val="00691FEE"/>
    <w:rsid w:val="00692FDA"/>
    <w:rsid w:val="006935CE"/>
    <w:rsid w:val="00693A9A"/>
    <w:rsid w:val="006941A2"/>
    <w:rsid w:val="00694AF4"/>
    <w:rsid w:val="00694DB0"/>
    <w:rsid w:val="00695E6C"/>
    <w:rsid w:val="00697C78"/>
    <w:rsid w:val="006A1070"/>
    <w:rsid w:val="006A2252"/>
    <w:rsid w:val="006A291E"/>
    <w:rsid w:val="006A2D9E"/>
    <w:rsid w:val="006A312F"/>
    <w:rsid w:val="006A3A64"/>
    <w:rsid w:val="006A3BFA"/>
    <w:rsid w:val="006A3ECE"/>
    <w:rsid w:val="006A41CF"/>
    <w:rsid w:val="006A4D35"/>
    <w:rsid w:val="006A57E7"/>
    <w:rsid w:val="006A5D26"/>
    <w:rsid w:val="006A63AB"/>
    <w:rsid w:val="006A640C"/>
    <w:rsid w:val="006A6459"/>
    <w:rsid w:val="006A6D9E"/>
    <w:rsid w:val="006A7522"/>
    <w:rsid w:val="006B1D49"/>
    <w:rsid w:val="006B2579"/>
    <w:rsid w:val="006B2749"/>
    <w:rsid w:val="006B372D"/>
    <w:rsid w:val="006B3B79"/>
    <w:rsid w:val="006B3F6B"/>
    <w:rsid w:val="006B4FD4"/>
    <w:rsid w:val="006B568A"/>
    <w:rsid w:val="006B58C2"/>
    <w:rsid w:val="006B6237"/>
    <w:rsid w:val="006B7203"/>
    <w:rsid w:val="006C07EE"/>
    <w:rsid w:val="006C0949"/>
    <w:rsid w:val="006C0962"/>
    <w:rsid w:val="006C0A31"/>
    <w:rsid w:val="006C10AC"/>
    <w:rsid w:val="006C1521"/>
    <w:rsid w:val="006C15B0"/>
    <w:rsid w:val="006C2381"/>
    <w:rsid w:val="006C50AA"/>
    <w:rsid w:val="006C5B3D"/>
    <w:rsid w:val="006C68D4"/>
    <w:rsid w:val="006D1645"/>
    <w:rsid w:val="006D19BF"/>
    <w:rsid w:val="006D339D"/>
    <w:rsid w:val="006D412F"/>
    <w:rsid w:val="006D431C"/>
    <w:rsid w:val="006D436D"/>
    <w:rsid w:val="006D4440"/>
    <w:rsid w:val="006D46CA"/>
    <w:rsid w:val="006D4996"/>
    <w:rsid w:val="006D5B77"/>
    <w:rsid w:val="006D6035"/>
    <w:rsid w:val="006D63DA"/>
    <w:rsid w:val="006D678F"/>
    <w:rsid w:val="006D6CDC"/>
    <w:rsid w:val="006D6CF7"/>
    <w:rsid w:val="006D7C63"/>
    <w:rsid w:val="006E09A4"/>
    <w:rsid w:val="006E1194"/>
    <w:rsid w:val="006E11F4"/>
    <w:rsid w:val="006E13AD"/>
    <w:rsid w:val="006E144E"/>
    <w:rsid w:val="006E3A6F"/>
    <w:rsid w:val="006E42D3"/>
    <w:rsid w:val="006E4DF5"/>
    <w:rsid w:val="006E5FB1"/>
    <w:rsid w:val="006E6375"/>
    <w:rsid w:val="006E63E2"/>
    <w:rsid w:val="006E67A4"/>
    <w:rsid w:val="006E6EF2"/>
    <w:rsid w:val="006E7301"/>
    <w:rsid w:val="006E79D0"/>
    <w:rsid w:val="006E7C50"/>
    <w:rsid w:val="006E7E90"/>
    <w:rsid w:val="006F1C62"/>
    <w:rsid w:val="006F1D45"/>
    <w:rsid w:val="006F25B3"/>
    <w:rsid w:val="006F2678"/>
    <w:rsid w:val="006F2AC1"/>
    <w:rsid w:val="006F338E"/>
    <w:rsid w:val="006F3975"/>
    <w:rsid w:val="006F470F"/>
    <w:rsid w:val="006F4D3E"/>
    <w:rsid w:val="006F67AE"/>
    <w:rsid w:val="006F6C07"/>
    <w:rsid w:val="007009B8"/>
    <w:rsid w:val="00702383"/>
    <w:rsid w:val="0070328B"/>
    <w:rsid w:val="00703ECE"/>
    <w:rsid w:val="00704279"/>
    <w:rsid w:val="00704AFD"/>
    <w:rsid w:val="007058CB"/>
    <w:rsid w:val="00706381"/>
    <w:rsid w:val="00706C25"/>
    <w:rsid w:val="007072C1"/>
    <w:rsid w:val="00707805"/>
    <w:rsid w:val="007103A3"/>
    <w:rsid w:val="00711427"/>
    <w:rsid w:val="00712795"/>
    <w:rsid w:val="00713FD5"/>
    <w:rsid w:val="00714024"/>
    <w:rsid w:val="00714469"/>
    <w:rsid w:val="0071449A"/>
    <w:rsid w:val="00715570"/>
    <w:rsid w:val="0071609F"/>
    <w:rsid w:val="00716291"/>
    <w:rsid w:val="00716A74"/>
    <w:rsid w:val="00716DA5"/>
    <w:rsid w:val="00717919"/>
    <w:rsid w:val="0072008F"/>
    <w:rsid w:val="00720AF4"/>
    <w:rsid w:val="00720E76"/>
    <w:rsid w:val="00721052"/>
    <w:rsid w:val="0072136F"/>
    <w:rsid w:val="007215AD"/>
    <w:rsid w:val="007216FF"/>
    <w:rsid w:val="00722829"/>
    <w:rsid w:val="00722CF8"/>
    <w:rsid w:val="007232F1"/>
    <w:rsid w:val="00723353"/>
    <w:rsid w:val="00723670"/>
    <w:rsid w:val="00723710"/>
    <w:rsid w:val="00723BF1"/>
    <w:rsid w:val="007248EC"/>
    <w:rsid w:val="00724978"/>
    <w:rsid w:val="00724BDB"/>
    <w:rsid w:val="007277F7"/>
    <w:rsid w:val="0072780C"/>
    <w:rsid w:val="007279F9"/>
    <w:rsid w:val="00730041"/>
    <w:rsid w:val="00730564"/>
    <w:rsid w:val="00730700"/>
    <w:rsid w:val="00731263"/>
    <w:rsid w:val="007321DB"/>
    <w:rsid w:val="007328B6"/>
    <w:rsid w:val="00733292"/>
    <w:rsid w:val="00733BA4"/>
    <w:rsid w:val="00733C74"/>
    <w:rsid w:val="00733F43"/>
    <w:rsid w:val="00734240"/>
    <w:rsid w:val="00734A00"/>
    <w:rsid w:val="00736A51"/>
    <w:rsid w:val="0073756B"/>
    <w:rsid w:val="0073760A"/>
    <w:rsid w:val="007376EF"/>
    <w:rsid w:val="007404C8"/>
    <w:rsid w:val="007407F9"/>
    <w:rsid w:val="0074085B"/>
    <w:rsid w:val="00740E92"/>
    <w:rsid w:val="00741D9E"/>
    <w:rsid w:val="007430AC"/>
    <w:rsid w:val="007433DE"/>
    <w:rsid w:val="007440B1"/>
    <w:rsid w:val="007440B3"/>
    <w:rsid w:val="0074433C"/>
    <w:rsid w:val="00744B6A"/>
    <w:rsid w:val="00744C4E"/>
    <w:rsid w:val="00744C8E"/>
    <w:rsid w:val="00745AC0"/>
    <w:rsid w:val="007511CD"/>
    <w:rsid w:val="00751248"/>
    <w:rsid w:val="00751267"/>
    <w:rsid w:val="00751A2F"/>
    <w:rsid w:val="00752364"/>
    <w:rsid w:val="00752748"/>
    <w:rsid w:val="00752C5E"/>
    <w:rsid w:val="00753928"/>
    <w:rsid w:val="00753CFB"/>
    <w:rsid w:val="007552D8"/>
    <w:rsid w:val="00756859"/>
    <w:rsid w:val="007568AB"/>
    <w:rsid w:val="00756DE4"/>
    <w:rsid w:val="007571C3"/>
    <w:rsid w:val="0075733B"/>
    <w:rsid w:val="00757B68"/>
    <w:rsid w:val="00757EA3"/>
    <w:rsid w:val="007605A6"/>
    <w:rsid w:val="007610E5"/>
    <w:rsid w:val="0076128F"/>
    <w:rsid w:val="007617BE"/>
    <w:rsid w:val="00763A92"/>
    <w:rsid w:val="00763E56"/>
    <w:rsid w:val="007643A6"/>
    <w:rsid w:val="00764B39"/>
    <w:rsid w:val="00764D30"/>
    <w:rsid w:val="007664EA"/>
    <w:rsid w:val="00767BCD"/>
    <w:rsid w:val="00771D7D"/>
    <w:rsid w:val="00772149"/>
    <w:rsid w:val="007725E1"/>
    <w:rsid w:val="00772790"/>
    <w:rsid w:val="007729D8"/>
    <w:rsid w:val="007738BA"/>
    <w:rsid w:val="00773C32"/>
    <w:rsid w:val="00773EB8"/>
    <w:rsid w:val="00773F18"/>
    <w:rsid w:val="00774A28"/>
    <w:rsid w:val="00774D4B"/>
    <w:rsid w:val="00774E79"/>
    <w:rsid w:val="0077564D"/>
    <w:rsid w:val="00775765"/>
    <w:rsid w:val="00775A97"/>
    <w:rsid w:val="00775F81"/>
    <w:rsid w:val="00775F8C"/>
    <w:rsid w:val="007760EE"/>
    <w:rsid w:val="007776F8"/>
    <w:rsid w:val="007803E5"/>
    <w:rsid w:val="00780FE7"/>
    <w:rsid w:val="00781880"/>
    <w:rsid w:val="00781E85"/>
    <w:rsid w:val="00782003"/>
    <w:rsid w:val="00782436"/>
    <w:rsid w:val="0078267D"/>
    <w:rsid w:val="00782867"/>
    <w:rsid w:val="00783850"/>
    <w:rsid w:val="0078416C"/>
    <w:rsid w:val="00784514"/>
    <w:rsid w:val="00785036"/>
    <w:rsid w:val="00785463"/>
    <w:rsid w:val="00785AC2"/>
    <w:rsid w:val="007868D9"/>
    <w:rsid w:val="00787A89"/>
    <w:rsid w:val="00787F47"/>
    <w:rsid w:val="00790988"/>
    <w:rsid w:val="0079286D"/>
    <w:rsid w:val="00792B40"/>
    <w:rsid w:val="00793342"/>
    <w:rsid w:val="00793949"/>
    <w:rsid w:val="00793C0A"/>
    <w:rsid w:val="00794318"/>
    <w:rsid w:val="0079729E"/>
    <w:rsid w:val="007972AD"/>
    <w:rsid w:val="00797D33"/>
    <w:rsid w:val="00797E60"/>
    <w:rsid w:val="00797EC6"/>
    <w:rsid w:val="007A029C"/>
    <w:rsid w:val="007A0361"/>
    <w:rsid w:val="007A071A"/>
    <w:rsid w:val="007A0D8F"/>
    <w:rsid w:val="007A0EA6"/>
    <w:rsid w:val="007A164C"/>
    <w:rsid w:val="007A1AD8"/>
    <w:rsid w:val="007A1C5D"/>
    <w:rsid w:val="007A1E2C"/>
    <w:rsid w:val="007A2ECA"/>
    <w:rsid w:val="007A34EC"/>
    <w:rsid w:val="007A4A67"/>
    <w:rsid w:val="007A4A86"/>
    <w:rsid w:val="007A4CBA"/>
    <w:rsid w:val="007A53F5"/>
    <w:rsid w:val="007A5701"/>
    <w:rsid w:val="007A6520"/>
    <w:rsid w:val="007A6691"/>
    <w:rsid w:val="007A70FA"/>
    <w:rsid w:val="007A79C9"/>
    <w:rsid w:val="007B0200"/>
    <w:rsid w:val="007B09C1"/>
    <w:rsid w:val="007B1096"/>
    <w:rsid w:val="007B14CC"/>
    <w:rsid w:val="007B1E1A"/>
    <w:rsid w:val="007B2835"/>
    <w:rsid w:val="007B34B9"/>
    <w:rsid w:val="007B45E9"/>
    <w:rsid w:val="007B4674"/>
    <w:rsid w:val="007B4967"/>
    <w:rsid w:val="007B567F"/>
    <w:rsid w:val="007B5DB8"/>
    <w:rsid w:val="007B69DD"/>
    <w:rsid w:val="007B6C2E"/>
    <w:rsid w:val="007B6EC1"/>
    <w:rsid w:val="007C0856"/>
    <w:rsid w:val="007C1EC2"/>
    <w:rsid w:val="007C2018"/>
    <w:rsid w:val="007C25AF"/>
    <w:rsid w:val="007C2E72"/>
    <w:rsid w:val="007C302E"/>
    <w:rsid w:val="007C3F31"/>
    <w:rsid w:val="007C3FCD"/>
    <w:rsid w:val="007C4057"/>
    <w:rsid w:val="007C4874"/>
    <w:rsid w:val="007C4E56"/>
    <w:rsid w:val="007C4FB9"/>
    <w:rsid w:val="007C7F2E"/>
    <w:rsid w:val="007C7F96"/>
    <w:rsid w:val="007D07C7"/>
    <w:rsid w:val="007D0875"/>
    <w:rsid w:val="007D0D5A"/>
    <w:rsid w:val="007D0E3A"/>
    <w:rsid w:val="007D1428"/>
    <w:rsid w:val="007D1835"/>
    <w:rsid w:val="007D1947"/>
    <w:rsid w:val="007D2DF1"/>
    <w:rsid w:val="007D30E4"/>
    <w:rsid w:val="007D3164"/>
    <w:rsid w:val="007D4A48"/>
    <w:rsid w:val="007D4C5C"/>
    <w:rsid w:val="007D4EDF"/>
    <w:rsid w:val="007D539E"/>
    <w:rsid w:val="007D5811"/>
    <w:rsid w:val="007D5BC4"/>
    <w:rsid w:val="007D60F4"/>
    <w:rsid w:val="007D6204"/>
    <w:rsid w:val="007D6412"/>
    <w:rsid w:val="007D68FA"/>
    <w:rsid w:val="007D799A"/>
    <w:rsid w:val="007D7BE2"/>
    <w:rsid w:val="007E0C0C"/>
    <w:rsid w:val="007E0C87"/>
    <w:rsid w:val="007E1C33"/>
    <w:rsid w:val="007E1D1E"/>
    <w:rsid w:val="007E1E7A"/>
    <w:rsid w:val="007E2467"/>
    <w:rsid w:val="007E3803"/>
    <w:rsid w:val="007E3B8B"/>
    <w:rsid w:val="007E4724"/>
    <w:rsid w:val="007E5483"/>
    <w:rsid w:val="007E5CA4"/>
    <w:rsid w:val="007E6538"/>
    <w:rsid w:val="007E6733"/>
    <w:rsid w:val="007E6EFB"/>
    <w:rsid w:val="007E71DF"/>
    <w:rsid w:val="007E779F"/>
    <w:rsid w:val="007E7CB6"/>
    <w:rsid w:val="007F047D"/>
    <w:rsid w:val="007F0635"/>
    <w:rsid w:val="007F0BEB"/>
    <w:rsid w:val="007F1DAB"/>
    <w:rsid w:val="007F1EC2"/>
    <w:rsid w:val="007F1FEE"/>
    <w:rsid w:val="007F2704"/>
    <w:rsid w:val="007F29FD"/>
    <w:rsid w:val="007F4245"/>
    <w:rsid w:val="007F4294"/>
    <w:rsid w:val="007F4524"/>
    <w:rsid w:val="007F5186"/>
    <w:rsid w:val="007F5CB8"/>
    <w:rsid w:val="007F5D91"/>
    <w:rsid w:val="007F74C3"/>
    <w:rsid w:val="00801196"/>
    <w:rsid w:val="00801EFF"/>
    <w:rsid w:val="00804086"/>
    <w:rsid w:val="00804362"/>
    <w:rsid w:val="008045D7"/>
    <w:rsid w:val="00804916"/>
    <w:rsid w:val="00804C72"/>
    <w:rsid w:val="008055F3"/>
    <w:rsid w:val="00805C06"/>
    <w:rsid w:val="008062AE"/>
    <w:rsid w:val="0080648E"/>
    <w:rsid w:val="008069DF"/>
    <w:rsid w:val="00806FC1"/>
    <w:rsid w:val="00807D5A"/>
    <w:rsid w:val="00807DA3"/>
    <w:rsid w:val="00810A2B"/>
    <w:rsid w:val="0081113C"/>
    <w:rsid w:val="00811360"/>
    <w:rsid w:val="00812F0F"/>
    <w:rsid w:val="00812F78"/>
    <w:rsid w:val="0081362C"/>
    <w:rsid w:val="00813994"/>
    <w:rsid w:val="00813B91"/>
    <w:rsid w:val="00814934"/>
    <w:rsid w:val="00815DB6"/>
    <w:rsid w:val="008164A0"/>
    <w:rsid w:val="00816673"/>
    <w:rsid w:val="0081676E"/>
    <w:rsid w:val="00816D21"/>
    <w:rsid w:val="008175B4"/>
    <w:rsid w:val="00817AF5"/>
    <w:rsid w:val="00817B35"/>
    <w:rsid w:val="0082033A"/>
    <w:rsid w:val="00821AC3"/>
    <w:rsid w:val="00822AEF"/>
    <w:rsid w:val="00823969"/>
    <w:rsid w:val="00824700"/>
    <w:rsid w:val="0082490A"/>
    <w:rsid w:val="00825269"/>
    <w:rsid w:val="008254ED"/>
    <w:rsid w:val="008264A1"/>
    <w:rsid w:val="00826597"/>
    <w:rsid w:val="00826E17"/>
    <w:rsid w:val="00826E39"/>
    <w:rsid w:val="00827138"/>
    <w:rsid w:val="008279B2"/>
    <w:rsid w:val="00827D4E"/>
    <w:rsid w:val="00827F8A"/>
    <w:rsid w:val="0083017E"/>
    <w:rsid w:val="0083149E"/>
    <w:rsid w:val="00832349"/>
    <w:rsid w:val="00832C0C"/>
    <w:rsid w:val="00833DF2"/>
    <w:rsid w:val="00833E49"/>
    <w:rsid w:val="00834690"/>
    <w:rsid w:val="00834FE8"/>
    <w:rsid w:val="008354B6"/>
    <w:rsid w:val="00835716"/>
    <w:rsid w:val="00835BDD"/>
    <w:rsid w:val="00835CA7"/>
    <w:rsid w:val="00836010"/>
    <w:rsid w:val="00836169"/>
    <w:rsid w:val="00836871"/>
    <w:rsid w:val="00836953"/>
    <w:rsid w:val="00836AD6"/>
    <w:rsid w:val="00837518"/>
    <w:rsid w:val="00837577"/>
    <w:rsid w:val="008403B1"/>
    <w:rsid w:val="008408C4"/>
    <w:rsid w:val="00840A13"/>
    <w:rsid w:val="00841DD6"/>
    <w:rsid w:val="008421DD"/>
    <w:rsid w:val="00843B60"/>
    <w:rsid w:val="00844395"/>
    <w:rsid w:val="0084509E"/>
    <w:rsid w:val="008455C3"/>
    <w:rsid w:val="00845D08"/>
    <w:rsid w:val="008462DB"/>
    <w:rsid w:val="00846A6D"/>
    <w:rsid w:val="00846B12"/>
    <w:rsid w:val="008506EC"/>
    <w:rsid w:val="00850EE7"/>
    <w:rsid w:val="00851493"/>
    <w:rsid w:val="008534C8"/>
    <w:rsid w:val="00853E14"/>
    <w:rsid w:val="00853F07"/>
    <w:rsid w:val="008541DF"/>
    <w:rsid w:val="008541EC"/>
    <w:rsid w:val="008552E8"/>
    <w:rsid w:val="00855396"/>
    <w:rsid w:val="0085585A"/>
    <w:rsid w:val="00855C94"/>
    <w:rsid w:val="008560F1"/>
    <w:rsid w:val="008562AA"/>
    <w:rsid w:val="0085644A"/>
    <w:rsid w:val="008568C8"/>
    <w:rsid w:val="00856E67"/>
    <w:rsid w:val="00856EDA"/>
    <w:rsid w:val="008570E9"/>
    <w:rsid w:val="00857310"/>
    <w:rsid w:val="0085779F"/>
    <w:rsid w:val="0086018E"/>
    <w:rsid w:val="00861A48"/>
    <w:rsid w:val="00861F47"/>
    <w:rsid w:val="0086290A"/>
    <w:rsid w:val="00864683"/>
    <w:rsid w:val="00865211"/>
    <w:rsid w:val="008655D1"/>
    <w:rsid w:val="00865A22"/>
    <w:rsid w:val="00865E44"/>
    <w:rsid w:val="00866419"/>
    <w:rsid w:val="008708E0"/>
    <w:rsid w:val="00870BEC"/>
    <w:rsid w:val="00870C09"/>
    <w:rsid w:val="0087200E"/>
    <w:rsid w:val="0087318B"/>
    <w:rsid w:val="008731FC"/>
    <w:rsid w:val="00873308"/>
    <w:rsid w:val="00874246"/>
    <w:rsid w:val="0087492D"/>
    <w:rsid w:val="00875A58"/>
    <w:rsid w:val="00875C59"/>
    <w:rsid w:val="00875CF3"/>
    <w:rsid w:val="00875FF6"/>
    <w:rsid w:val="00876233"/>
    <w:rsid w:val="0087627E"/>
    <w:rsid w:val="00876537"/>
    <w:rsid w:val="00876663"/>
    <w:rsid w:val="00876906"/>
    <w:rsid w:val="00877F05"/>
    <w:rsid w:val="00880341"/>
    <w:rsid w:val="00880E6A"/>
    <w:rsid w:val="00881763"/>
    <w:rsid w:val="0088203A"/>
    <w:rsid w:val="00882563"/>
    <w:rsid w:val="008828F1"/>
    <w:rsid w:val="00883146"/>
    <w:rsid w:val="00883960"/>
    <w:rsid w:val="008850DE"/>
    <w:rsid w:val="00885D9A"/>
    <w:rsid w:val="00886E71"/>
    <w:rsid w:val="008870BE"/>
    <w:rsid w:val="0089041D"/>
    <w:rsid w:val="008905FA"/>
    <w:rsid w:val="00890A9C"/>
    <w:rsid w:val="00890F72"/>
    <w:rsid w:val="008910F8"/>
    <w:rsid w:val="008917F1"/>
    <w:rsid w:val="00891994"/>
    <w:rsid w:val="00891E7C"/>
    <w:rsid w:val="00892788"/>
    <w:rsid w:val="008932E9"/>
    <w:rsid w:val="0089334F"/>
    <w:rsid w:val="00893487"/>
    <w:rsid w:val="00893837"/>
    <w:rsid w:val="00896E32"/>
    <w:rsid w:val="00897921"/>
    <w:rsid w:val="00897F2C"/>
    <w:rsid w:val="008A00E1"/>
    <w:rsid w:val="008A00FC"/>
    <w:rsid w:val="008A02E6"/>
    <w:rsid w:val="008A0312"/>
    <w:rsid w:val="008A0924"/>
    <w:rsid w:val="008A09D9"/>
    <w:rsid w:val="008A1613"/>
    <w:rsid w:val="008A2506"/>
    <w:rsid w:val="008A27F1"/>
    <w:rsid w:val="008A2B46"/>
    <w:rsid w:val="008A41C4"/>
    <w:rsid w:val="008A4E62"/>
    <w:rsid w:val="008A526F"/>
    <w:rsid w:val="008A5613"/>
    <w:rsid w:val="008A5AEB"/>
    <w:rsid w:val="008A67CC"/>
    <w:rsid w:val="008A7374"/>
    <w:rsid w:val="008A73D0"/>
    <w:rsid w:val="008B00B4"/>
    <w:rsid w:val="008B0E1B"/>
    <w:rsid w:val="008B0EEF"/>
    <w:rsid w:val="008B2192"/>
    <w:rsid w:val="008B2D74"/>
    <w:rsid w:val="008B3781"/>
    <w:rsid w:val="008B430F"/>
    <w:rsid w:val="008B44CC"/>
    <w:rsid w:val="008B4B22"/>
    <w:rsid w:val="008B527F"/>
    <w:rsid w:val="008B539F"/>
    <w:rsid w:val="008B5D90"/>
    <w:rsid w:val="008B5EE9"/>
    <w:rsid w:val="008B5F7C"/>
    <w:rsid w:val="008B60CD"/>
    <w:rsid w:val="008B69EE"/>
    <w:rsid w:val="008B6D42"/>
    <w:rsid w:val="008B73D8"/>
    <w:rsid w:val="008B75F3"/>
    <w:rsid w:val="008C15ED"/>
    <w:rsid w:val="008C1E16"/>
    <w:rsid w:val="008C2177"/>
    <w:rsid w:val="008C311B"/>
    <w:rsid w:val="008C3612"/>
    <w:rsid w:val="008C3778"/>
    <w:rsid w:val="008C3784"/>
    <w:rsid w:val="008C3EE8"/>
    <w:rsid w:val="008C3F5B"/>
    <w:rsid w:val="008C3F8F"/>
    <w:rsid w:val="008C4C7F"/>
    <w:rsid w:val="008C4D44"/>
    <w:rsid w:val="008C514F"/>
    <w:rsid w:val="008C5255"/>
    <w:rsid w:val="008C5B26"/>
    <w:rsid w:val="008C5FC1"/>
    <w:rsid w:val="008C6F39"/>
    <w:rsid w:val="008C71B4"/>
    <w:rsid w:val="008C795F"/>
    <w:rsid w:val="008C7F14"/>
    <w:rsid w:val="008D00B8"/>
    <w:rsid w:val="008D1386"/>
    <w:rsid w:val="008D165E"/>
    <w:rsid w:val="008D1EE2"/>
    <w:rsid w:val="008D24F2"/>
    <w:rsid w:val="008D51A9"/>
    <w:rsid w:val="008D52F9"/>
    <w:rsid w:val="008D5B91"/>
    <w:rsid w:val="008D675C"/>
    <w:rsid w:val="008D687B"/>
    <w:rsid w:val="008D6F48"/>
    <w:rsid w:val="008D7457"/>
    <w:rsid w:val="008D7760"/>
    <w:rsid w:val="008D77BC"/>
    <w:rsid w:val="008E18D8"/>
    <w:rsid w:val="008E1988"/>
    <w:rsid w:val="008E2B54"/>
    <w:rsid w:val="008E2B66"/>
    <w:rsid w:val="008E2FB5"/>
    <w:rsid w:val="008E31E9"/>
    <w:rsid w:val="008E4712"/>
    <w:rsid w:val="008E5234"/>
    <w:rsid w:val="008E5241"/>
    <w:rsid w:val="008E562C"/>
    <w:rsid w:val="008E5772"/>
    <w:rsid w:val="008E5E22"/>
    <w:rsid w:val="008E7ED4"/>
    <w:rsid w:val="008F021A"/>
    <w:rsid w:val="008F0347"/>
    <w:rsid w:val="008F0608"/>
    <w:rsid w:val="008F0B9F"/>
    <w:rsid w:val="008F10C8"/>
    <w:rsid w:val="008F1618"/>
    <w:rsid w:val="008F18D4"/>
    <w:rsid w:val="008F2414"/>
    <w:rsid w:val="008F2A3C"/>
    <w:rsid w:val="008F2D88"/>
    <w:rsid w:val="008F39C2"/>
    <w:rsid w:val="008F3C51"/>
    <w:rsid w:val="008F5215"/>
    <w:rsid w:val="008F5EC4"/>
    <w:rsid w:val="008F5EE0"/>
    <w:rsid w:val="008F6C30"/>
    <w:rsid w:val="008F70D3"/>
    <w:rsid w:val="008F7154"/>
    <w:rsid w:val="008F7585"/>
    <w:rsid w:val="008F79AB"/>
    <w:rsid w:val="008F7ED7"/>
    <w:rsid w:val="009001E1"/>
    <w:rsid w:val="00900559"/>
    <w:rsid w:val="009007C3"/>
    <w:rsid w:val="00901014"/>
    <w:rsid w:val="009015E8"/>
    <w:rsid w:val="00901707"/>
    <w:rsid w:val="00902120"/>
    <w:rsid w:val="009027A3"/>
    <w:rsid w:val="0090346B"/>
    <w:rsid w:val="009046C1"/>
    <w:rsid w:val="00904C82"/>
    <w:rsid w:val="009050A5"/>
    <w:rsid w:val="009055BF"/>
    <w:rsid w:val="00905A22"/>
    <w:rsid w:val="00906229"/>
    <w:rsid w:val="009063CF"/>
    <w:rsid w:val="00906557"/>
    <w:rsid w:val="00907C97"/>
    <w:rsid w:val="0091164A"/>
    <w:rsid w:val="0091230B"/>
    <w:rsid w:val="009133A2"/>
    <w:rsid w:val="009133FF"/>
    <w:rsid w:val="0091417B"/>
    <w:rsid w:val="009141DA"/>
    <w:rsid w:val="009141E0"/>
    <w:rsid w:val="00915143"/>
    <w:rsid w:val="0091553A"/>
    <w:rsid w:val="00915A59"/>
    <w:rsid w:val="00915EAD"/>
    <w:rsid w:val="009165D3"/>
    <w:rsid w:val="00916C86"/>
    <w:rsid w:val="00916E71"/>
    <w:rsid w:val="009203D8"/>
    <w:rsid w:val="0092113F"/>
    <w:rsid w:val="009219E5"/>
    <w:rsid w:val="00922281"/>
    <w:rsid w:val="00922D2D"/>
    <w:rsid w:val="00923552"/>
    <w:rsid w:val="00923897"/>
    <w:rsid w:val="0092492F"/>
    <w:rsid w:val="00924A72"/>
    <w:rsid w:val="00924B12"/>
    <w:rsid w:val="009250C4"/>
    <w:rsid w:val="00926AF7"/>
    <w:rsid w:val="00926BD2"/>
    <w:rsid w:val="00926F57"/>
    <w:rsid w:val="0092719C"/>
    <w:rsid w:val="00927343"/>
    <w:rsid w:val="009279D9"/>
    <w:rsid w:val="00930094"/>
    <w:rsid w:val="009309E6"/>
    <w:rsid w:val="0093116E"/>
    <w:rsid w:val="00931264"/>
    <w:rsid w:val="0093145E"/>
    <w:rsid w:val="00931AE8"/>
    <w:rsid w:val="00931D8E"/>
    <w:rsid w:val="009321F2"/>
    <w:rsid w:val="0093249A"/>
    <w:rsid w:val="00932A1F"/>
    <w:rsid w:val="00933076"/>
    <w:rsid w:val="0093358C"/>
    <w:rsid w:val="00933DB1"/>
    <w:rsid w:val="00934258"/>
    <w:rsid w:val="00934639"/>
    <w:rsid w:val="0093556E"/>
    <w:rsid w:val="00935A0C"/>
    <w:rsid w:val="00935D7B"/>
    <w:rsid w:val="0093659A"/>
    <w:rsid w:val="00937368"/>
    <w:rsid w:val="00937B45"/>
    <w:rsid w:val="00937EB9"/>
    <w:rsid w:val="00940680"/>
    <w:rsid w:val="0094074E"/>
    <w:rsid w:val="00940DA1"/>
    <w:rsid w:val="009418B3"/>
    <w:rsid w:val="00941B59"/>
    <w:rsid w:val="00941E0A"/>
    <w:rsid w:val="00942CA1"/>
    <w:rsid w:val="00943370"/>
    <w:rsid w:val="0094372F"/>
    <w:rsid w:val="009438D9"/>
    <w:rsid w:val="0094470F"/>
    <w:rsid w:val="009454CA"/>
    <w:rsid w:val="00946514"/>
    <w:rsid w:val="00946684"/>
    <w:rsid w:val="009503F9"/>
    <w:rsid w:val="00951E48"/>
    <w:rsid w:val="00951F3A"/>
    <w:rsid w:val="00951FCE"/>
    <w:rsid w:val="00952B17"/>
    <w:rsid w:val="00952DD3"/>
    <w:rsid w:val="0095377D"/>
    <w:rsid w:val="0095383B"/>
    <w:rsid w:val="009538F3"/>
    <w:rsid w:val="00954BD9"/>
    <w:rsid w:val="00955984"/>
    <w:rsid w:val="00957521"/>
    <w:rsid w:val="009578F2"/>
    <w:rsid w:val="00961BE1"/>
    <w:rsid w:val="00962311"/>
    <w:rsid w:val="0096242D"/>
    <w:rsid w:val="0096276E"/>
    <w:rsid w:val="0096341C"/>
    <w:rsid w:val="00964540"/>
    <w:rsid w:val="0096487D"/>
    <w:rsid w:val="00964C6D"/>
    <w:rsid w:val="0096519B"/>
    <w:rsid w:val="0096580C"/>
    <w:rsid w:val="00967485"/>
    <w:rsid w:val="00970693"/>
    <w:rsid w:val="00970A93"/>
    <w:rsid w:val="00970ED5"/>
    <w:rsid w:val="009728CC"/>
    <w:rsid w:val="00972D32"/>
    <w:rsid w:val="00972F67"/>
    <w:rsid w:val="009736C6"/>
    <w:rsid w:val="0097490F"/>
    <w:rsid w:val="00975980"/>
    <w:rsid w:val="00975C12"/>
    <w:rsid w:val="00976032"/>
    <w:rsid w:val="00977E61"/>
    <w:rsid w:val="00980117"/>
    <w:rsid w:val="009810CE"/>
    <w:rsid w:val="009812D8"/>
    <w:rsid w:val="00981308"/>
    <w:rsid w:val="0098192A"/>
    <w:rsid w:val="009819EC"/>
    <w:rsid w:val="00982813"/>
    <w:rsid w:val="0098297D"/>
    <w:rsid w:val="00982FA7"/>
    <w:rsid w:val="009831EC"/>
    <w:rsid w:val="009832CB"/>
    <w:rsid w:val="0098387C"/>
    <w:rsid w:val="009839DD"/>
    <w:rsid w:val="00984067"/>
    <w:rsid w:val="0098484D"/>
    <w:rsid w:val="00987322"/>
    <w:rsid w:val="0098793E"/>
    <w:rsid w:val="00990260"/>
    <w:rsid w:val="00990382"/>
    <w:rsid w:val="00990452"/>
    <w:rsid w:val="00990768"/>
    <w:rsid w:val="00990DD5"/>
    <w:rsid w:val="00990F12"/>
    <w:rsid w:val="00992233"/>
    <w:rsid w:val="009929BE"/>
    <w:rsid w:val="00993051"/>
    <w:rsid w:val="009933B2"/>
    <w:rsid w:val="0099427D"/>
    <w:rsid w:val="00994905"/>
    <w:rsid w:val="00995954"/>
    <w:rsid w:val="009972F9"/>
    <w:rsid w:val="009974E9"/>
    <w:rsid w:val="00997F82"/>
    <w:rsid w:val="009A175F"/>
    <w:rsid w:val="009A2066"/>
    <w:rsid w:val="009A2CE1"/>
    <w:rsid w:val="009A3374"/>
    <w:rsid w:val="009A3A69"/>
    <w:rsid w:val="009A4745"/>
    <w:rsid w:val="009A47B3"/>
    <w:rsid w:val="009A494D"/>
    <w:rsid w:val="009A4B89"/>
    <w:rsid w:val="009A6911"/>
    <w:rsid w:val="009A6A9C"/>
    <w:rsid w:val="009A7D82"/>
    <w:rsid w:val="009B0D19"/>
    <w:rsid w:val="009B10EE"/>
    <w:rsid w:val="009B21D6"/>
    <w:rsid w:val="009B328F"/>
    <w:rsid w:val="009B331E"/>
    <w:rsid w:val="009B566D"/>
    <w:rsid w:val="009B5937"/>
    <w:rsid w:val="009B673E"/>
    <w:rsid w:val="009B6974"/>
    <w:rsid w:val="009B698E"/>
    <w:rsid w:val="009B69F8"/>
    <w:rsid w:val="009B7038"/>
    <w:rsid w:val="009C00AC"/>
    <w:rsid w:val="009C04D8"/>
    <w:rsid w:val="009C12BE"/>
    <w:rsid w:val="009C1518"/>
    <w:rsid w:val="009C17D8"/>
    <w:rsid w:val="009C18C5"/>
    <w:rsid w:val="009C2523"/>
    <w:rsid w:val="009C2939"/>
    <w:rsid w:val="009C2C0B"/>
    <w:rsid w:val="009C2CD0"/>
    <w:rsid w:val="009C2D46"/>
    <w:rsid w:val="009C3322"/>
    <w:rsid w:val="009C366C"/>
    <w:rsid w:val="009C49C6"/>
    <w:rsid w:val="009C5191"/>
    <w:rsid w:val="009C51F3"/>
    <w:rsid w:val="009C73C7"/>
    <w:rsid w:val="009C78CF"/>
    <w:rsid w:val="009D09EC"/>
    <w:rsid w:val="009D1885"/>
    <w:rsid w:val="009D1F98"/>
    <w:rsid w:val="009D2383"/>
    <w:rsid w:val="009D2420"/>
    <w:rsid w:val="009D2CCC"/>
    <w:rsid w:val="009D2FD6"/>
    <w:rsid w:val="009D387F"/>
    <w:rsid w:val="009D3DAA"/>
    <w:rsid w:val="009D47DF"/>
    <w:rsid w:val="009D4F89"/>
    <w:rsid w:val="009D55E4"/>
    <w:rsid w:val="009D57C7"/>
    <w:rsid w:val="009D5A25"/>
    <w:rsid w:val="009D62A4"/>
    <w:rsid w:val="009D6FD3"/>
    <w:rsid w:val="009D7637"/>
    <w:rsid w:val="009E0273"/>
    <w:rsid w:val="009E1602"/>
    <w:rsid w:val="009E1BE5"/>
    <w:rsid w:val="009E1F74"/>
    <w:rsid w:val="009E3020"/>
    <w:rsid w:val="009E3635"/>
    <w:rsid w:val="009E46B9"/>
    <w:rsid w:val="009E6122"/>
    <w:rsid w:val="009E619C"/>
    <w:rsid w:val="009E6298"/>
    <w:rsid w:val="009E66D8"/>
    <w:rsid w:val="009E6DF8"/>
    <w:rsid w:val="009E6E93"/>
    <w:rsid w:val="009F0EBC"/>
    <w:rsid w:val="009F1006"/>
    <w:rsid w:val="009F25C8"/>
    <w:rsid w:val="009F3416"/>
    <w:rsid w:val="009F401C"/>
    <w:rsid w:val="009F4060"/>
    <w:rsid w:val="009F4B69"/>
    <w:rsid w:val="009F5083"/>
    <w:rsid w:val="009F66C0"/>
    <w:rsid w:val="009F6AA7"/>
    <w:rsid w:val="00A0057B"/>
    <w:rsid w:val="00A00BCF"/>
    <w:rsid w:val="00A02460"/>
    <w:rsid w:val="00A025D6"/>
    <w:rsid w:val="00A02C4C"/>
    <w:rsid w:val="00A03111"/>
    <w:rsid w:val="00A03276"/>
    <w:rsid w:val="00A03498"/>
    <w:rsid w:val="00A03715"/>
    <w:rsid w:val="00A03E69"/>
    <w:rsid w:val="00A04CEC"/>
    <w:rsid w:val="00A05838"/>
    <w:rsid w:val="00A058C9"/>
    <w:rsid w:val="00A06080"/>
    <w:rsid w:val="00A06B1D"/>
    <w:rsid w:val="00A06FB7"/>
    <w:rsid w:val="00A12513"/>
    <w:rsid w:val="00A12645"/>
    <w:rsid w:val="00A14313"/>
    <w:rsid w:val="00A15C7F"/>
    <w:rsid w:val="00A16218"/>
    <w:rsid w:val="00A16544"/>
    <w:rsid w:val="00A16A63"/>
    <w:rsid w:val="00A17182"/>
    <w:rsid w:val="00A17E82"/>
    <w:rsid w:val="00A201E5"/>
    <w:rsid w:val="00A20928"/>
    <w:rsid w:val="00A2176B"/>
    <w:rsid w:val="00A21BFB"/>
    <w:rsid w:val="00A21F0D"/>
    <w:rsid w:val="00A22000"/>
    <w:rsid w:val="00A2209E"/>
    <w:rsid w:val="00A221C3"/>
    <w:rsid w:val="00A2232F"/>
    <w:rsid w:val="00A22E4A"/>
    <w:rsid w:val="00A234BE"/>
    <w:rsid w:val="00A23BFF"/>
    <w:rsid w:val="00A246AB"/>
    <w:rsid w:val="00A24A19"/>
    <w:rsid w:val="00A24BC6"/>
    <w:rsid w:val="00A251EF"/>
    <w:rsid w:val="00A25F41"/>
    <w:rsid w:val="00A27196"/>
    <w:rsid w:val="00A27487"/>
    <w:rsid w:val="00A27D5E"/>
    <w:rsid w:val="00A304E1"/>
    <w:rsid w:val="00A3094E"/>
    <w:rsid w:val="00A30A64"/>
    <w:rsid w:val="00A31EF7"/>
    <w:rsid w:val="00A3225D"/>
    <w:rsid w:val="00A3269B"/>
    <w:rsid w:val="00A327B7"/>
    <w:rsid w:val="00A33AD3"/>
    <w:rsid w:val="00A34608"/>
    <w:rsid w:val="00A34709"/>
    <w:rsid w:val="00A3498F"/>
    <w:rsid w:val="00A35122"/>
    <w:rsid w:val="00A3647E"/>
    <w:rsid w:val="00A37B1E"/>
    <w:rsid w:val="00A4077E"/>
    <w:rsid w:val="00A40B01"/>
    <w:rsid w:val="00A4108C"/>
    <w:rsid w:val="00A41543"/>
    <w:rsid w:val="00A41CED"/>
    <w:rsid w:val="00A42240"/>
    <w:rsid w:val="00A42883"/>
    <w:rsid w:val="00A42A89"/>
    <w:rsid w:val="00A439BA"/>
    <w:rsid w:val="00A43C4B"/>
    <w:rsid w:val="00A4442F"/>
    <w:rsid w:val="00A447AA"/>
    <w:rsid w:val="00A44FC7"/>
    <w:rsid w:val="00A45C37"/>
    <w:rsid w:val="00A46414"/>
    <w:rsid w:val="00A47B84"/>
    <w:rsid w:val="00A50296"/>
    <w:rsid w:val="00A502B0"/>
    <w:rsid w:val="00A502FB"/>
    <w:rsid w:val="00A50D55"/>
    <w:rsid w:val="00A51195"/>
    <w:rsid w:val="00A51832"/>
    <w:rsid w:val="00A5236A"/>
    <w:rsid w:val="00A52FBC"/>
    <w:rsid w:val="00A532A0"/>
    <w:rsid w:val="00A53DB3"/>
    <w:rsid w:val="00A54269"/>
    <w:rsid w:val="00A5503A"/>
    <w:rsid w:val="00A550A0"/>
    <w:rsid w:val="00A556BA"/>
    <w:rsid w:val="00A55BA4"/>
    <w:rsid w:val="00A55F7E"/>
    <w:rsid w:val="00A569A1"/>
    <w:rsid w:val="00A56AC2"/>
    <w:rsid w:val="00A571D8"/>
    <w:rsid w:val="00A57586"/>
    <w:rsid w:val="00A600DC"/>
    <w:rsid w:val="00A6051D"/>
    <w:rsid w:val="00A608CC"/>
    <w:rsid w:val="00A618AA"/>
    <w:rsid w:val="00A631E1"/>
    <w:rsid w:val="00A64094"/>
    <w:rsid w:val="00A6465F"/>
    <w:rsid w:val="00A6586F"/>
    <w:rsid w:val="00A658D4"/>
    <w:rsid w:val="00A66012"/>
    <w:rsid w:val="00A661D5"/>
    <w:rsid w:val="00A679ED"/>
    <w:rsid w:val="00A67D86"/>
    <w:rsid w:val="00A67DC7"/>
    <w:rsid w:val="00A70560"/>
    <w:rsid w:val="00A71F93"/>
    <w:rsid w:val="00A72AFC"/>
    <w:rsid w:val="00A73302"/>
    <w:rsid w:val="00A73E16"/>
    <w:rsid w:val="00A73FB0"/>
    <w:rsid w:val="00A74CCA"/>
    <w:rsid w:val="00A75842"/>
    <w:rsid w:val="00A76652"/>
    <w:rsid w:val="00A80160"/>
    <w:rsid w:val="00A8038B"/>
    <w:rsid w:val="00A80BD9"/>
    <w:rsid w:val="00A80D0C"/>
    <w:rsid w:val="00A81FB8"/>
    <w:rsid w:val="00A82104"/>
    <w:rsid w:val="00A8260E"/>
    <w:rsid w:val="00A8263B"/>
    <w:rsid w:val="00A82655"/>
    <w:rsid w:val="00A8370B"/>
    <w:rsid w:val="00A83C68"/>
    <w:rsid w:val="00A84BEF"/>
    <w:rsid w:val="00A84C2B"/>
    <w:rsid w:val="00A84D91"/>
    <w:rsid w:val="00A84E1C"/>
    <w:rsid w:val="00A856F4"/>
    <w:rsid w:val="00A85E3E"/>
    <w:rsid w:val="00A86735"/>
    <w:rsid w:val="00A87522"/>
    <w:rsid w:val="00A879A0"/>
    <w:rsid w:val="00A90FCF"/>
    <w:rsid w:val="00A917D2"/>
    <w:rsid w:val="00A91974"/>
    <w:rsid w:val="00A91EAF"/>
    <w:rsid w:val="00A92279"/>
    <w:rsid w:val="00A92646"/>
    <w:rsid w:val="00A928CF"/>
    <w:rsid w:val="00A94F53"/>
    <w:rsid w:val="00A96B6B"/>
    <w:rsid w:val="00A97027"/>
    <w:rsid w:val="00A97606"/>
    <w:rsid w:val="00A97DCF"/>
    <w:rsid w:val="00A97F3D"/>
    <w:rsid w:val="00AA13F9"/>
    <w:rsid w:val="00AA1616"/>
    <w:rsid w:val="00AA16AF"/>
    <w:rsid w:val="00AA1D5C"/>
    <w:rsid w:val="00AA1E40"/>
    <w:rsid w:val="00AA24E9"/>
    <w:rsid w:val="00AA2980"/>
    <w:rsid w:val="00AA2F88"/>
    <w:rsid w:val="00AA310D"/>
    <w:rsid w:val="00AA443C"/>
    <w:rsid w:val="00AA49CC"/>
    <w:rsid w:val="00AA4C50"/>
    <w:rsid w:val="00AA6195"/>
    <w:rsid w:val="00AA6FFE"/>
    <w:rsid w:val="00AA7453"/>
    <w:rsid w:val="00AA7554"/>
    <w:rsid w:val="00AA7ED0"/>
    <w:rsid w:val="00AB061A"/>
    <w:rsid w:val="00AB15DE"/>
    <w:rsid w:val="00AB25D3"/>
    <w:rsid w:val="00AB2967"/>
    <w:rsid w:val="00AB2B15"/>
    <w:rsid w:val="00AB321E"/>
    <w:rsid w:val="00AB34B2"/>
    <w:rsid w:val="00AB3986"/>
    <w:rsid w:val="00AB5365"/>
    <w:rsid w:val="00AB5CB7"/>
    <w:rsid w:val="00AB69D1"/>
    <w:rsid w:val="00AB7612"/>
    <w:rsid w:val="00AB7B41"/>
    <w:rsid w:val="00AC059B"/>
    <w:rsid w:val="00AC09CF"/>
    <w:rsid w:val="00AC0DF3"/>
    <w:rsid w:val="00AC0E5E"/>
    <w:rsid w:val="00AC29FD"/>
    <w:rsid w:val="00AC2CFF"/>
    <w:rsid w:val="00AC3181"/>
    <w:rsid w:val="00AC36CC"/>
    <w:rsid w:val="00AC3878"/>
    <w:rsid w:val="00AC47EA"/>
    <w:rsid w:val="00AC4B3D"/>
    <w:rsid w:val="00AC5C9C"/>
    <w:rsid w:val="00AC661B"/>
    <w:rsid w:val="00AC69AC"/>
    <w:rsid w:val="00AC7266"/>
    <w:rsid w:val="00AC7D65"/>
    <w:rsid w:val="00AD0B32"/>
    <w:rsid w:val="00AD0D08"/>
    <w:rsid w:val="00AD0DD8"/>
    <w:rsid w:val="00AD12F9"/>
    <w:rsid w:val="00AD1C0B"/>
    <w:rsid w:val="00AD1C60"/>
    <w:rsid w:val="00AD2E29"/>
    <w:rsid w:val="00AD3B36"/>
    <w:rsid w:val="00AD4261"/>
    <w:rsid w:val="00AD4A12"/>
    <w:rsid w:val="00AD4BC8"/>
    <w:rsid w:val="00AD4DA0"/>
    <w:rsid w:val="00AD4E13"/>
    <w:rsid w:val="00AD5122"/>
    <w:rsid w:val="00AD5197"/>
    <w:rsid w:val="00AD544A"/>
    <w:rsid w:val="00AD7A4A"/>
    <w:rsid w:val="00AD7BA1"/>
    <w:rsid w:val="00AD7C09"/>
    <w:rsid w:val="00AD7E02"/>
    <w:rsid w:val="00AE0386"/>
    <w:rsid w:val="00AE2052"/>
    <w:rsid w:val="00AE2188"/>
    <w:rsid w:val="00AE2707"/>
    <w:rsid w:val="00AE2941"/>
    <w:rsid w:val="00AE2AB5"/>
    <w:rsid w:val="00AE2B25"/>
    <w:rsid w:val="00AE2CB3"/>
    <w:rsid w:val="00AE3051"/>
    <w:rsid w:val="00AE3D89"/>
    <w:rsid w:val="00AE3EA9"/>
    <w:rsid w:val="00AE3EB8"/>
    <w:rsid w:val="00AE4C84"/>
    <w:rsid w:val="00AE5670"/>
    <w:rsid w:val="00AE5CFB"/>
    <w:rsid w:val="00AE606F"/>
    <w:rsid w:val="00AE65AC"/>
    <w:rsid w:val="00AE692C"/>
    <w:rsid w:val="00AE6D10"/>
    <w:rsid w:val="00AE73BB"/>
    <w:rsid w:val="00AE74B7"/>
    <w:rsid w:val="00AE787C"/>
    <w:rsid w:val="00AF01F8"/>
    <w:rsid w:val="00AF046B"/>
    <w:rsid w:val="00AF13DF"/>
    <w:rsid w:val="00AF2021"/>
    <w:rsid w:val="00AF217E"/>
    <w:rsid w:val="00AF27A1"/>
    <w:rsid w:val="00AF3D34"/>
    <w:rsid w:val="00AF4EDE"/>
    <w:rsid w:val="00AF5285"/>
    <w:rsid w:val="00AF55B5"/>
    <w:rsid w:val="00AF6849"/>
    <w:rsid w:val="00AF6FFD"/>
    <w:rsid w:val="00AF7425"/>
    <w:rsid w:val="00AF7453"/>
    <w:rsid w:val="00B015AB"/>
    <w:rsid w:val="00B0168D"/>
    <w:rsid w:val="00B01A87"/>
    <w:rsid w:val="00B01BF3"/>
    <w:rsid w:val="00B02788"/>
    <w:rsid w:val="00B030AE"/>
    <w:rsid w:val="00B045D7"/>
    <w:rsid w:val="00B0532B"/>
    <w:rsid w:val="00B067E7"/>
    <w:rsid w:val="00B06F3A"/>
    <w:rsid w:val="00B072C3"/>
    <w:rsid w:val="00B076A8"/>
    <w:rsid w:val="00B1133C"/>
    <w:rsid w:val="00B11810"/>
    <w:rsid w:val="00B123FA"/>
    <w:rsid w:val="00B12C24"/>
    <w:rsid w:val="00B13611"/>
    <w:rsid w:val="00B13FE4"/>
    <w:rsid w:val="00B14781"/>
    <w:rsid w:val="00B156B0"/>
    <w:rsid w:val="00B15BEF"/>
    <w:rsid w:val="00B16757"/>
    <w:rsid w:val="00B16AC7"/>
    <w:rsid w:val="00B1749C"/>
    <w:rsid w:val="00B175DC"/>
    <w:rsid w:val="00B17E40"/>
    <w:rsid w:val="00B201A6"/>
    <w:rsid w:val="00B20247"/>
    <w:rsid w:val="00B210B5"/>
    <w:rsid w:val="00B212DA"/>
    <w:rsid w:val="00B21D8A"/>
    <w:rsid w:val="00B21FD5"/>
    <w:rsid w:val="00B23C90"/>
    <w:rsid w:val="00B246E1"/>
    <w:rsid w:val="00B25135"/>
    <w:rsid w:val="00B253B6"/>
    <w:rsid w:val="00B2596C"/>
    <w:rsid w:val="00B25F6C"/>
    <w:rsid w:val="00B26742"/>
    <w:rsid w:val="00B26F51"/>
    <w:rsid w:val="00B27484"/>
    <w:rsid w:val="00B277F4"/>
    <w:rsid w:val="00B30183"/>
    <w:rsid w:val="00B30E87"/>
    <w:rsid w:val="00B30E8D"/>
    <w:rsid w:val="00B30EFC"/>
    <w:rsid w:val="00B31354"/>
    <w:rsid w:val="00B314EF"/>
    <w:rsid w:val="00B31557"/>
    <w:rsid w:val="00B317BE"/>
    <w:rsid w:val="00B3268D"/>
    <w:rsid w:val="00B32C8C"/>
    <w:rsid w:val="00B32E4B"/>
    <w:rsid w:val="00B33931"/>
    <w:rsid w:val="00B33DD7"/>
    <w:rsid w:val="00B34607"/>
    <w:rsid w:val="00B34816"/>
    <w:rsid w:val="00B34995"/>
    <w:rsid w:val="00B35006"/>
    <w:rsid w:val="00B36192"/>
    <w:rsid w:val="00B371B5"/>
    <w:rsid w:val="00B374E4"/>
    <w:rsid w:val="00B3799F"/>
    <w:rsid w:val="00B37DD2"/>
    <w:rsid w:val="00B40BCC"/>
    <w:rsid w:val="00B418A1"/>
    <w:rsid w:val="00B41BC4"/>
    <w:rsid w:val="00B41D50"/>
    <w:rsid w:val="00B41FCC"/>
    <w:rsid w:val="00B42A17"/>
    <w:rsid w:val="00B42ACC"/>
    <w:rsid w:val="00B42EBB"/>
    <w:rsid w:val="00B4359A"/>
    <w:rsid w:val="00B43F67"/>
    <w:rsid w:val="00B44617"/>
    <w:rsid w:val="00B4462F"/>
    <w:rsid w:val="00B4519F"/>
    <w:rsid w:val="00B45974"/>
    <w:rsid w:val="00B45A5A"/>
    <w:rsid w:val="00B45CA1"/>
    <w:rsid w:val="00B45E81"/>
    <w:rsid w:val="00B46C9F"/>
    <w:rsid w:val="00B46DC9"/>
    <w:rsid w:val="00B4755E"/>
    <w:rsid w:val="00B47620"/>
    <w:rsid w:val="00B47AF5"/>
    <w:rsid w:val="00B50839"/>
    <w:rsid w:val="00B50B1B"/>
    <w:rsid w:val="00B514E1"/>
    <w:rsid w:val="00B51BD1"/>
    <w:rsid w:val="00B52155"/>
    <w:rsid w:val="00B52D90"/>
    <w:rsid w:val="00B52FD5"/>
    <w:rsid w:val="00B5327B"/>
    <w:rsid w:val="00B541CB"/>
    <w:rsid w:val="00B5476D"/>
    <w:rsid w:val="00B5484F"/>
    <w:rsid w:val="00B54981"/>
    <w:rsid w:val="00B55234"/>
    <w:rsid w:val="00B569FD"/>
    <w:rsid w:val="00B56A81"/>
    <w:rsid w:val="00B60ECA"/>
    <w:rsid w:val="00B61AFD"/>
    <w:rsid w:val="00B62408"/>
    <w:rsid w:val="00B63033"/>
    <w:rsid w:val="00B63458"/>
    <w:rsid w:val="00B64059"/>
    <w:rsid w:val="00B64851"/>
    <w:rsid w:val="00B65C18"/>
    <w:rsid w:val="00B66322"/>
    <w:rsid w:val="00B66A11"/>
    <w:rsid w:val="00B700AF"/>
    <w:rsid w:val="00B716B3"/>
    <w:rsid w:val="00B72CA3"/>
    <w:rsid w:val="00B73097"/>
    <w:rsid w:val="00B73525"/>
    <w:rsid w:val="00B73F92"/>
    <w:rsid w:val="00B742C2"/>
    <w:rsid w:val="00B7466C"/>
    <w:rsid w:val="00B7571B"/>
    <w:rsid w:val="00B76747"/>
    <w:rsid w:val="00B767F7"/>
    <w:rsid w:val="00B769AB"/>
    <w:rsid w:val="00B76AA0"/>
    <w:rsid w:val="00B76B3E"/>
    <w:rsid w:val="00B7789D"/>
    <w:rsid w:val="00B77F21"/>
    <w:rsid w:val="00B802BA"/>
    <w:rsid w:val="00B802BD"/>
    <w:rsid w:val="00B80D87"/>
    <w:rsid w:val="00B81EC4"/>
    <w:rsid w:val="00B8220C"/>
    <w:rsid w:val="00B8265F"/>
    <w:rsid w:val="00B83AE4"/>
    <w:rsid w:val="00B83F99"/>
    <w:rsid w:val="00B84CF3"/>
    <w:rsid w:val="00B85130"/>
    <w:rsid w:val="00B85EA0"/>
    <w:rsid w:val="00B86C46"/>
    <w:rsid w:val="00B87A73"/>
    <w:rsid w:val="00B87F37"/>
    <w:rsid w:val="00B90BC4"/>
    <w:rsid w:val="00B913A2"/>
    <w:rsid w:val="00B91953"/>
    <w:rsid w:val="00B92605"/>
    <w:rsid w:val="00B93704"/>
    <w:rsid w:val="00B93A21"/>
    <w:rsid w:val="00B9411F"/>
    <w:rsid w:val="00B944A7"/>
    <w:rsid w:val="00B945B2"/>
    <w:rsid w:val="00B94710"/>
    <w:rsid w:val="00B94C26"/>
    <w:rsid w:val="00B953CD"/>
    <w:rsid w:val="00B95711"/>
    <w:rsid w:val="00B9633E"/>
    <w:rsid w:val="00B96B9C"/>
    <w:rsid w:val="00B9739A"/>
    <w:rsid w:val="00BA0055"/>
    <w:rsid w:val="00BA1BA2"/>
    <w:rsid w:val="00BA2DDC"/>
    <w:rsid w:val="00BA361B"/>
    <w:rsid w:val="00BA3635"/>
    <w:rsid w:val="00BA38A3"/>
    <w:rsid w:val="00BA4A4C"/>
    <w:rsid w:val="00BA4D12"/>
    <w:rsid w:val="00BA5A75"/>
    <w:rsid w:val="00BA60B0"/>
    <w:rsid w:val="00BA6717"/>
    <w:rsid w:val="00BA6865"/>
    <w:rsid w:val="00BA68F1"/>
    <w:rsid w:val="00BA6D37"/>
    <w:rsid w:val="00BA77C8"/>
    <w:rsid w:val="00BA7E9B"/>
    <w:rsid w:val="00BB166C"/>
    <w:rsid w:val="00BB1AB5"/>
    <w:rsid w:val="00BB1F53"/>
    <w:rsid w:val="00BB275C"/>
    <w:rsid w:val="00BB2D14"/>
    <w:rsid w:val="00BB456E"/>
    <w:rsid w:val="00BB46EC"/>
    <w:rsid w:val="00BB4714"/>
    <w:rsid w:val="00BB4A7F"/>
    <w:rsid w:val="00BB547B"/>
    <w:rsid w:val="00BB750D"/>
    <w:rsid w:val="00BB7CD6"/>
    <w:rsid w:val="00BC00B9"/>
    <w:rsid w:val="00BC06D3"/>
    <w:rsid w:val="00BC0F8F"/>
    <w:rsid w:val="00BC16C0"/>
    <w:rsid w:val="00BC16D6"/>
    <w:rsid w:val="00BC1814"/>
    <w:rsid w:val="00BC1A65"/>
    <w:rsid w:val="00BC2F75"/>
    <w:rsid w:val="00BC31B4"/>
    <w:rsid w:val="00BC3A5C"/>
    <w:rsid w:val="00BC3BB0"/>
    <w:rsid w:val="00BC3ED2"/>
    <w:rsid w:val="00BC427C"/>
    <w:rsid w:val="00BC44DB"/>
    <w:rsid w:val="00BC4B03"/>
    <w:rsid w:val="00BC6948"/>
    <w:rsid w:val="00BC7415"/>
    <w:rsid w:val="00BD09E2"/>
    <w:rsid w:val="00BD1BF2"/>
    <w:rsid w:val="00BD1DED"/>
    <w:rsid w:val="00BD2569"/>
    <w:rsid w:val="00BD2727"/>
    <w:rsid w:val="00BD2F19"/>
    <w:rsid w:val="00BD34BE"/>
    <w:rsid w:val="00BD36D4"/>
    <w:rsid w:val="00BD529B"/>
    <w:rsid w:val="00BD59AF"/>
    <w:rsid w:val="00BD5F45"/>
    <w:rsid w:val="00BD6315"/>
    <w:rsid w:val="00BD6D9B"/>
    <w:rsid w:val="00BD72FD"/>
    <w:rsid w:val="00BD76E7"/>
    <w:rsid w:val="00BE0F83"/>
    <w:rsid w:val="00BE1035"/>
    <w:rsid w:val="00BE1527"/>
    <w:rsid w:val="00BE21E9"/>
    <w:rsid w:val="00BE278F"/>
    <w:rsid w:val="00BE2A76"/>
    <w:rsid w:val="00BE2E6C"/>
    <w:rsid w:val="00BE3293"/>
    <w:rsid w:val="00BE3335"/>
    <w:rsid w:val="00BE49A4"/>
    <w:rsid w:val="00BE49BE"/>
    <w:rsid w:val="00BE5702"/>
    <w:rsid w:val="00BE7DCA"/>
    <w:rsid w:val="00BF0B2C"/>
    <w:rsid w:val="00BF232C"/>
    <w:rsid w:val="00BF23EE"/>
    <w:rsid w:val="00BF2B52"/>
    <w:rsid w:val="00BF2D4B"/>
    <w:rsid w:val="00BF3104"/>
    <w:rsid w:val="00BF3793"/>
    <w:rsid w:val="00BF37B7"/>
    <w:rsid w:val="00BF3D59"/>
    <w:rsid w:val="00BF3E0D"/>
    <w:rsid w:val="00BF44AC"/>
    <w:rsid w:val="00BF4872"/>
    <w:rsid w:val="00BF4894"/>
    <w:rsid w:val="00BF5948"/>
    <w:rsid w:val="00BF612F"/>
    <w:rsid w:val="00BF6A90"/>
    <w:rsid w:val="00BF7976"/>
    <w:rsid w:val="00BF7F3A"/>
    <w:rsid w:val="00C014E0"/>
    <w:rsid w:val="00C01A16"/>
    <w:rsid w:val="00C01B67"/>
    <w:rsid w:val="00C01DB5"/>
    <w:rsid w:val="00C02029"/>
    <w:rsid w:val="00C022CB"/>
    <w:rsid w:val="00C02587"/>
    <w:rsid w:val="00C032C6"/>
    <w:rsid w:val="00C038CD"/>
    <w:rsid w:val="00C03CDE"/>
    <w:rsid w:val="00C045A7"/>
    <w:rsid w:val="00C04B2B"/>
    <w:rsid w:val="00C04C33"/>
    <w:rsid w:val="00C05144"/>
    <w:rsid w:val="00C05EEB"/>
    <w:rsid w:val="00C06126"/>
    <w:rsid w:val="00C06D78"/>
    <w:rsid w:val="00C07C51"/>
    <w:rsid w:val="00C109ED"/>
    <w:rsid w:val="00C115CF"/>
    <w:rsid w:val="00C124F0"/>
    <w:rsid w:val="00C12672"/>
    <w:rsid w:val="00C129ED"/>
    <w:rsid w:val="00C131B0"/>
    <w:rsid w:val="00C135A6"/>
    <w:rsid w:val="00C13899"/>
    <w:rsid w:val="00C14765"/>
    <w:rsid w:val="00C149F9"/>
    <w:rsid w:val="00C14BB5"/>
    <w:rsid w:val="00C14FD4"/>
    <w:rsid w:val="00C16008"/>
    <w:rsid w:val="00C2095A"/>
    <w:rsid w:val="00C20A9F"/>
    <w:rsid w:val="00C214E1"/>
    <w:rsid w:val="00C21B62"/>
    <w:rsid w:val="00C22228"/>
    <w:rsid w:val="00C22F41"/>
    <w:rsid w:val="00C23B06"/>
    <w:rsid w:val="00C242E9"/>
    <w:rsid w:val="00C259FD"/>
    <w:rsid w:val="00C25EBF"/>
    <w:rsid w:val="00C25FE3"/>
    <w:rsid w:val="00C30236"/>
    <w:rsid w:val="00C3023D"/>
    <w:rsid w:val="00C31697"/>
    <w:rsid w:val="00C31C02"/>
    <w:rsid w:val="00C3217F"/>
    <w:rsid w:val="00C32F93"/>
    <w:rsid w:val="00C348E2"/>
    <w:rsid w:val="00C34BB7"/>
    <w:rsid w:val="00C352B1"/>
    <w:rsid w:val="00C3542C"/>
    <w:rsid w:val="00C35AA5"/>
    <w:rsid w:val="00C35CA6"/>
    <w:rsid w:val="00C35DEF"/>
    <w:rsid w:val="00C366CA"/>
    <w:rsid w:val="00C36A04"/>
    <w:rsid w:val="00C36FFB"/>
    <w:rsid w:val="00C3726B"/>
    <w:rsid w:val="00C40420"/>
    <w:rsid w:val="00C40BDE"/>
    <w:rsid w:val="00C414A7"/>
    <w:rsid w:val="00C42ECD"/>
    <w:rsid w:val="00C4343B"/>
    <w:rsid w:val="00C44005"/>
    <w:rsid w:val="00C44382"/>
    <w:rsid w:val="00C44943"/>
    <w:rsid w:val="00C44CDC"/>
    <w:rsid w:val="00C45201"/>
    <w:rsid w:val="00C46DB7"/>
    <w:rsid w:val="00C46FD3"/>
    <w:rsid w:val="00C4752D"/>
    <w:rsid w:val="00C503C7"/>
    <w:rsid w:val="00C510DD"/>
    <w:rsid w:val="00C52018"/>
    <w:rsid w:val="00C52527"/>
    <w:rsid w:val="00C5311E"/>
    <w:rsid w:val="00C53D66"/>
    <w:rsid w:val="00C53E65"/>
    <w:rsid w:val="00C553B2"/>
    <w:rsid w:val="00C56BDD"/>
    <w:rsid w:val="00C5711C"/>
    <w:rsid w:val="00C6292E"/>
    <w:rsid w:val="00C63CE1"/>
    <w:rsid w:val="00C655CF"/>
    <w:rsid w:val="00C65AA2"/>
    <w:rsid w:val="00C67AF2"/>
    <w:rsid w:val="00C67E22"/>
    <w:rsid w:val="00C70E14"/>
    <w:rsid w:val="00C72408"/>
    <w:rsid w:val="00C7314E"/>
    <w:rsid w:val="00C744FB"/>
    <w:rsid w:val="00C75229"/>
    <w:rsid w:val="00C752EB"/>
    <w:rsid w:val="00C75884"/>
    <w:rsid w:val="00C7592A"/>
    <w:rsid w:val="00C75B37"/>
    <w:rsid w:val="00C7745F"/>
    <w:rsid w:val="00C80035"/>
    <w:rsid w:val="00C8034A"/>
    <w:rsid w:val="00C80538"/>
    <w:rsid w:val="00C805F0"/>
    <w:rsid w:val="00C8164E"/>
    <w:rsid w:val="00C81760"/>
    <w:rsid w:val="00C81E06"/>
    <w:rsid w:val="00C82305"/>
    <w:rsid w:val="00C837B1"/>
    <w:rsid w:val="00C839DE"/>
    <w:rsid w:val="00C83C46"/>
    <w:rsid w:val="00C85DB0"/>
    <w:rsid w:val="00C86060"/>
    <w:rsid w:val="00C8629F"/>
    <w:rsid w:val="00C86E5C"/>
    <w:rsid w:val="00C86E84"/>
    <w:rsid w:val="00C87328"/>
    <w:rsid w:val="00C874F5"/>
    <w:rsid w:val="00C87C97"/>
    <w:rsid w:val="00C901BE"/>
    <w:rsid w:val="00C90485"/>
    <w:rsid w:val="00C91606"/>
    <w:rsid w:val="00C91D0F"/>
    <w:rsid w:val="00C9224F"/>
    <w:rsid w:val="00C93457"/>
    <w:rsid w:val="00C93490"/>
    <w:rsid w:val="00C94331"/>
    <w:rsid w:val="00C94349"/>
    <w:rsid w:val="00C94EE6"/>
    <w:rsid w:val="00C94F4A"/>
    <w:rsid w:val="00C9506E"/>
    <w:rsid w:val="00C954C2"/>
    <w:rsid w:val="00C95585"/>
    <w:rsid w:val="00C957E8"/>
    <w:rsid w:val="00C957FD"/>
    <w:rsid w:val="00C959CB"/>
    <w:rsid w:val="00C95D20"/>
    <w:rsid w:val="00C9638F"/>
    <w:rsid w:val="00C96944"/>
    <w:rsid w:val="00C97316"/>
    <w:rsid w:val="00CA029E"/>
    <w:rsid w:val="00CA20C0"/>
    <w:rsid w:val="00CA24AD"/>
    <w:rsid w:val="00CA28A5"/>
    <w:rsid w:val="00CA2FB1"/>
    <w:rsid w:val="00CA37B8"/>
    <w:rsid w:val="00CA397D"/>
    <w:rsid w:val="00CA3D68"/>
    <w:rsid w:val="00CA4088"/>
    <w:rsid w:val="00CA4132"/>
    <w:rsid w:val="00CA543E"/>
    <w:rsid w:val="00CA5C29"/>
    <w:rsid w:val="00CA6781"/>
    <w:rsid w:val="00CA6942"/>
    <w:rsid w:val="00CA6FC1"/>
    <w:rsid w:val="00CA780C"/>
    <w:rsid w:val="00CA7F99"/>
    <w:rsid w:val="00CB0ADF"/>
    <w:rsid w:val="00CB0BCE"/>
    <w:rsid w:val="00CB1B70"/>
    <w:rsid w:val="00CB1B98"/>
    <w:rsid w:val="00CB1DB9"/>
    <w:rsid w:val="00CB233C"/>
    <w:rsid w:val="00CB4CEF"/>
    <w:rsid w:val="00CB56A5"/>
    <w:rsid w:val="00CB5878"/>
    <w:rsid w:val="00CB6CE2"/>
    <w:rsid w:val="00CB7327"/>
    <w:rsid w:val="00CB78FD"/>
    <w:rsid w:val="00CB7BF5"/>
    <w:rsid w:val="00CC09FF"/>
    <w:rsid w:val="00CC0D9C"/>
    <w:rsid w:val="00CC14EF"/>
    <w:rsid w:val="00CC34AD"/>
    <w:rsid w:val="00CC37ED"/>
    <w:rsid w:val="00CC411C"/>
    <w:rsid w:val="00CC4981"/>
    <w:rsid w:val="00CC5A26"/>
    <w:rsid w:val="00CC5A9D"/>
    <w:rsid w:val="00CC618C"/>
    <w:rsid w:val="00CC62D4"/>
    <w:rsid w:val="00CD035D"/>
    <w:rsid w:val="00CD07EA"/>
    <w:rsid w:val="00CD094E"/>
    <w:rsid w:val="00CD1269"/>
    <w:rsid w:val="00CD157E"/>
    <w:rsid w:val="00CD239B"/>
    <w:rsid w:val="00CD3DB7"/>
    <w:rsid w:val="00CD3FA0"/>
    <w:rsid w:val="00CD421A"/>
    <w:rsid w:val="00CD46F9"/>
    <w:rsid w:val="00CD7898"/>
    <w:rsid w:val="00CD7A8C"/>
    <w:rsid w:val="00CD7DD7"/>
    <w:rsid w:val="00CE09AA"/>
    <w:rsid w:val="00CE0FD9"/>
    <w:rsid w:val="00CE20A5"/>
    <w:rsid w:val="00CE4B6D"/>
    <w:rsid w:val="00CE4EEC"/>
    <w:rsid w:val="00CE4F57"/>
    <w:rsid w:val="00CE50EA"/>
    <w:rsid w:val="00CE5915"/>
    <w:rsid w:val="00CE620E"/>
    <w:rsid w:val="00CE6B35"/>
    <w:rsid w:val="00CE7459"/>
    <w:rsid w:val="00CF01D5"/>
    <w:rsid w:val="00CF04B2"/>
    <w:rsid w:val="00CF04F0"/>
    <w:rsid w:val="00CF055F"/>
    <w:rsid w:val="00CF11F1"/>
    <w:rsid w:val="00CF15EC"/>
    <w:rsid w:val="00CF1740"/>
    <w:rsid w:val="00CF1DEC"/>
    <w:rsid w:val="00CF237A"/>
    <w:rsid w:val="00CF3519"/>
    <w:rsid w:val="00CF3826"/>
    <w:rsid w:val="00CF3C43"/>
    <w:rsid w:val="00CF43E0"/>
    <w:rsid w:val="00CF44A5"/>
    <w:rsid w:val="00CF4DAE"/>
    <w:rsid w:val="00CF5A89"/>
    <w:rsid w:val="00CF6064"/>
    <w:rsid w:val="00CF6609"/>
    <w:rsid w:val="00CF7353"/>
    <w:rsid w:val="00CF7576"/>
    <w:rsid w:val="00CF76DD"/>
    <w:rsid w:val="00D002CD"/>
    <w:rsid w:val="00D00BFF"/>
    <w:rsid w:val="00D00E6F"/>
    <w:rsid w:val="00D00F17"/>
    <w:rsid w:val="00D01FEA"/>
    <w:rsid w:val="00D027DA"/>
    <w:rsid w:val="00D02CA2"/>
    <w:rsid w:val="00D03D69"/>
    <w:rsid w:val="00D04084"/>
    <w:rsid w:val="00D04905"/>
    <w:rsid w:val="00D05F34"/>
    <w:rsid w:val="00D06D3B"/>
    <w:rsid w:val="00D0777A"/>
    <w:rsid w:val="00D10074"/>
    <w:rsid w:val="00D12DF1"/>
    <w:rsid w:val="00D13E39"/>
    <w:rsid w:val="00D14313"/>
    <w:rsid w:val="00D14E07"/>
    <w:rsid w:val="00D1594D"/>
    <w:rsid w:val="00D16D70"/>
    <w:rsid w:val="00D16DA3"/>
    <w:rsid w:val="00D16FDE"/>
    <w:rsid w:val="00D179ED"/>
    <w:rsid w:val="00D17C58"/>
    <w:rsid w:val="00D17DBD"/>
    <w:rsid w:val="00D20B10"/>
    <w:rsid w:val="00D20C5C"/>
    <w:rsid w:val="00D20DC8"/>
    <w:rsid w:val="00D21F16"/>
    <w:rsid w:val="00D22067"/>
    <w:rsid w:val="00D220FE"/>
    <w:rsid w:val="00D22909"/>
    <w:rsid w:val="00D22978"/>
    <w:rsid w:val="00D22DF1"/>
    <w:rsid w:val="00D23835"/>
    <w:rsid w:val="00D24102"/>
    <w:rsid w:val="00D24713"/>
    <w:rsid w:val="00D24CAD"/>
    <w:rsid w:val="00D25408"/>
    <w:rsid w:val="00D25B0C"/>
    <w:rsid w:val="00D25BA3"/>
    <w:rsid w:val="00D274E6"/>
    <w:rsid w:val="00D30640"/>
    <w:rsid w:val="00D30DF9"/>
    <w:rsid w:val="00D31881"/>
    <w:rsid w:val="00D336D2"/>
    <w:rsid w:val="00D36577"/>
    <w:rsid w:val="00D366E1"/>
    <w:rsid w:val="00D36CFB"/>
    <w:rsid w:val="00D37744"/>
    <w:rsid w:val="00D40FF5"/>
    <w:rsid w:val="00D41631"/>
    <w:rsid w:val="00D41D94"/>
    <w:rsid w:val="00D43829"/>
    <w:rsid w:val="00D44289"/>
    <w:rsid w:val="00D446BF"/>
    <w:rsid w:val="00D44A1F"/>
    <w:rsid w:val="00D44D33"/>
    <w:rsid w:val="00D44DA5"/>
    <w:rsid w:val="00D45F28"/>
    <w:rsid w:val="00D46132"/>
    <w:rsid w:val="00D508AB"/>
    <w:rsid w:val="00D5171D"/>
    <w:rsid w:val="00D51880"/>
    <w:rsid w:val="00D51A04"/>
    <w:rsid w:val="00D54578"/>
    <w:rsid w:val="00D54781"/>
    <w:rsid w:val="00D55063"/>
    <w:rsid w:val="00D55C44"/>
    <w:rsid w:val="00D56613"/>
    <w:rsid w:val="00D56D33"/>
    <w:rsid w:val="00D571CA"/>
    <w:rsid w:val="00D577F9"/>
    <w:rsid w:val="00D57DA2"/>
    <w:rsid w:val="00D628FA"/>
    <w:rsid w:val="00D62A68"/>
    <w:rsid w:val="00D62C0D"/>
    <w:rsid w:val="00D6370D"/>
    <w:rsid w:val="00D637E7"/>
    <w:rsid w:val="00D64A53"/>
    <w:rsid w:val="00D6530F"/>
    <w:rsid w:val="00D65514"/>
    <w:rsid w:val="00D65C25"/>
    <w:rsid w:val="00D66B7E"/>
    <w:rsid w:val="00D702C4"/>
    <w:rsid w:val="00D70525"/>
    <w:rsid w:val="00D70638"/>
    <w:rsid w:val="00D7084C"/>
    <w:rsid w:val="00D717ED"/>
    <w:rsid w:val="00D71DDF"/>
    <w:rsid w:val="00D72BC9"/>
    <w:rsid w:val="00D72DDB"/>
    <w:rsid w:val="00D73D35"/>
    <w:rsid w:val="00D73F3B"/>
    <w:rsid w:val="00D750B7"/>
    <w:rsid w:val="00D760C4"/>
    <w:rsid w:val="00D769F6"/>
    <w:rsid w:val="00D774EC"/>
    <w:rsid w:val="00D77E98"/>
    <w:rsid w:val="00D803C7"/>
    <w:rsid w:val="00D80D36"/>
    <w:rsid w:val="00D816E9"/>
    <w:rsid w:val="00D81E77"/>
    <w:rsid w:val="00D82A6C"/>
    <w:rsid w:val="00D833B8"/>
    <w:rsid w:val="00D83EFB"/>
    <w:rsid w:val="00D8450F"/>
    <w:rsid w:val="00D8459B"/>
    <w:rsid w:val="00D8495F"/>
    <w:rsid w:val="00D84BC8"/>
    <w:rsid w:val="00D85023"/>
    <w:rsid w:val="00D85EBF"/>
    <w:rsid w:val="00D861B3"/>
    <w:rsid w:val="00D87531"/>
    <w:rsid w:val="00D87837"/>
    <w:rsid w:val="00D87945"/>
    <w:rsid w:val="00D87ACE"/>
    <w:rsid w:val="00D87C6B"/>
    <w:rsid w:val="00D87D40"/>
    <w:rsid w:val="00D90419"/>
    <w:rsid w:val="00D905C0"/>
    <w:rsid w:val="00D90966"/>
    <w:rsid w:val="00D90ED1"/>
    <w:rsid w:val="00D90F59"/>
    <w:rsid w:val="00D93DCD"/>
    <w:rsid w:val="00D93F23"/>
    <w:rsid w:val="00D95BED"/>
    <w:rsid w:val="00D96508"/>
    <w:rsid w:val="00D970BF"/>
    <w:rsid w:val="00D97BA8"/>
    <w:rsid w:val="00D97FD2"/>
    <w:rsid w:val="00DA0AAE"/>
    <w:rsid w:val="00DA1E67"/>
    <w:rsid w:val="00DA2B2A"/>
    <w:rsid w:val="00DA2DBD"/>
    <w:rsid w:val="00DA2EA7"/>
    <w:rsid w:val="00DA32D7"/>
    <w:rsid w:val="00DA44A6"/>
    <w:rsid w:val="00DA48CB"/>
    <w:rsid w:val="00DA4A4E"/>
    <w:rsid w:val="00DA4C15"/>
    <w:rsid w:val="00DA54A1"/>
    <w:rsid w:val="00DA54CF"/>
    <w:rsid w:val="00DA59C4"/>
    <w:rsid w:val="00DA5F49"/>
    <w:rsid w:val="00DA5F6C"/>
    <w:rsid w:val="00DA6334"/>
    <w:rsid w:val="00DA6817"/>
    <w:rsid w:val="00DA6A5F"/>
    <w:rsid w:val="00DA6AD1"/>
    <w:rsid w:val="00DA6E6E"/>
    <w:rsid w:val="00DA6F2F"/>
    <w:rsid w:val="00DB051B"/>
    <w:rsid w:val="00DB0821"/>
    <w:rsid w:val="00DB087D"/>
    <w:rsid w:val="00DB105B"/>
    <w:rsid w:val="00DB1653"/>
    <w:rsid w:val="00DB2AEF"/>
    <w:rsid w:val="00DB35CA"/>
    <w:rsid w:val="00DB452F"/>
    <w:rsid w:val="00DB4D59"/>
    <w:rsid w:val="00DB5097"/>
    <w:rsid w:val="00DB52B6"/>
    <w:rsid w:val="00DB563D"/>
    <w:rsid w:val="00DB5D4F"/>
    <w:rsid w:val="00DB63BA"/>
    <w:rsid w:val="00DB6F2C"/>
    <w:rsid w:val="00DB7A7D"/>
    <w:rsid w:val="00DB7F32"/>
    <w:rsid w:val="00DC0590"/>
    <w:rsid w:val="00DC105C"/>
    <w:rsid w:val="00DC162D"/>
    <w:rsid w:val="00DC217E"/>
    <w:rsid w:val="00DC2AF3"/>
    <w:rsid w:val="00DC2E42"/>
    <w:rsid w:val="00DC36F8"/>
    <w:rsid w:val="00DC3A21"/>
    <w:rsid w:val="00DC51BF"/>
    <w:rsid w:val="00DC51DA"/>
    <w:rsid w:val="00DC6035"/>
    <w:rsid w:val="00DC6E69"/>
    <w:rsid w:val="00DC6FCC"/>
    <w:rsid w:val="00DC7642"/>
    <w:rsid w:val="00DD10E3"/>
    <w:rsid w:val="00DD122B"/>
    <w:rsid w:val="00DD1CC1"/>
    <w:rsid w:val="00DD2458"/>
    <w:rsid w:val="00DD3AB4"/>
    <w:rsid w:val="00DD3ACD"/>
    <w:rsid w:val="00DD3C3F"/>
    <w:rsid w:val="00DD3E48"/>
    <w:rsid w:val="00DD4563"/>
    <w:rsid w:val="00DD56CB"/>
    <w:rsid w:val="00DD5A22"/>
    <w:rsid w:val="00DD6453"/>
    <w:rsid w:val="00DD69B7"/>
    <w:rsid w:val="00DD71E9"/>
    <w:rsid w:val="00DD76CD"/>
    <w:rsid w:val="00DE032D"/>
    <w:rsid w:val="00DE1052"/>
    <w:rsid w:val="00DE10AF"/>
    <w:rsid w:val="00DE189B"/>
    <w:rsid w:val="00DE2088"/>
    <w:rsid w:val="00DE27F5"/>
    <w:rsid w:val="00DE35A3"/>
    <w:rsid w:val="00DE35E2"/>
    <w:rsid w:val="00DE3EE6"/>
    <w:rsid w:val="00DE46F3"/>
    <w:rsid w:val="00DE503B"/>
    <w:rsid w:val="00DE5AE6"/>
    <w:rsid w:val="00DE6290"/>
    <w:rsid w:val="00DE652B"/>
    <w:rsid w:val="00DE7550"/>
    <w:rsid w:val="00DE7722"/>
    <w:rsid w:val="00DE78FF"/>
    <w:rsid w:val="00DE7A00"/>
    <w:rsid w:val="00DE7B39"/>
    <w:rsid w:val="00DE7BC9"/>
    <w:rsid w:val="00DF0405"/>
    <w:rsid w:val="00DF047B"/>
    <w:rsid w:val="00DF0B60"/>
    <w:rsid w:val="00DF1D56"/>
    <w:rsid w:val="00DF1F9A"/>
    <w:rsid w:val="00DF2200"/>
    <w:rsid w:val="00DF3140"/>
    <w:rsid w:val="00DF374E"/>
    <w:rsid w:val="00DF39B3"/>
    <w:rsid w:val="00DF468B"/>
    <w:rsid w:val="00DF4E0D"/>
    <w:rsid w:val="00DF53A2"/>
    <w:rsid w:val="00DF7B6E"/>
    <w:rsid w:val="00E0041B"/>
    <w:rsid w:val="00E00645"/>
    <w:rsid w:val="00E006D5"/>
    <w:rsid w:val="00E0086D"/>
    <w:rsid w:val="00E00A96"/>
    <w:rsid w:val="00E00F32"/>
    <w:rsid w:val="00E01019"/>
    <w:rsid w:val="00E0185B"/>
    <w:rsid w:val="00E031F9"/>
    <w:rsid w:val="00E03A19"/>
    <w:rsid w:val="00E03E5F"/>
    <w:rsid w:val="00E0451D"/>
    <w:rsid w:val="00E04A5B"/>
    <w:rsid w:val="00E05834"/>
    <w:rsid w:val="00E06A77"/>
    <w:rsid w:val="00E07130"/>
    <w:rsid w:val="00E072CB"/>
    <w:rsid w:val="00E07F10"/>
    <w:rsid w:val="00E07F3E"/>
    <w:rsid w:val="00E1076E"/>
    <w:rsid w:val="00E1105D"/>
    <w:rsid w:val="00E1138F"/>
    <w:rsid w:val="00E115B3"/>
    <w:rsid w:val="00E11EA8"/>
    <w:rsid w:val="00E14030"/>
    <w:rsid w:val="00E149C9"/>
    <w:rsid w:val="00E15B00"/>
    <w:rsid w:val="00E16174"/>
    <w:rsid w:val="00E16F51"/>
    <w:rsid w:val="00E17242"/>
    <w:rsid w:val="00E173D2"/>
    <w:rsid w:val="00E210EF"/>
    <w:rsid w:val="00E21677"/>
    <w:rsid w:val="00E22185"/>
    <w:rsid w:val="00E221BA"/>
    <w:rsid w:val="00E22420"/>
    <w:rsid w:val="00E2270B"/>
    <w:rsid w:val="00E22DA9"/>
    <w:rsid w:val="00E234E0"/>
    <w:rsid w:val="00E235CB"/>
    <w:rsid w:val="00E235D8"/>
    <w:rsid w:val="00E2412C"/>
    <w:rsid w:val="00E247BA"/>
    <w:rsid w:val="00E319CF"/>
    <w:rsid w:val="00E31A76"/>
    <w:rsid w:val="00E31B03"/>
    <w:rsid w:val="00E32C69"/>
    <w:rsid w:val="00E3334B"/>
    <w:rsid w:val="00E3463E"/>
    <w:rsid w:val="00E34B43"/>
    <w:rsid w:val="00E34E67"/>
    <w:rsid w:val="00E35819"/>
    <w:rsid w:val="00E35F5F"/>
    <w:rsid w:val="00E361E2"/>
    <w:rsid w:val="00E36A22"/>
    <w:rsid w:val="00E37D5A"/>
    <w:rsid w:val="00E4005A"/>
    <w:rsid w:val="00E4047B"/>
    <w:rsid w:val="00E40516"/>
    <w:rsid w:val="00E40D4F"/>
    <w:rsid w:val="00E415D1"/>
    <w:rsid w:val="00E41E29"/>
    <w:rsid w:val="00E41F23"/>
    <w:rsid w:val="00E4338E"/>
    <w:rsid w:val="00E43966"/>
    <w:rsid w:val="00E43EFA"/>
    <w:rsid w:val="00E44108"/>
    <w:rsid w:val="00E44669"/>
    <w:rsid w:val="00E45747"/>
    <w:rsid w:val="00E45CA3"/>
    <w:rsid w:val="00E46268"/>
    <w:rsid w:val="00E4648C"/>
    <w:rsid w:val="00E4669E"/>
    <w:rsid w:val="00E475C9"/>
    <w:rsid w:val="00E503E2"/>
    <w:rsid w:val="00E5128B"/>
    <w:rsid w:val="00E51635"/>
    <w:rsid w:val="00E5217C"/>
    <w:rsid w:val="00E52239"/>
    <w:rsid w:val="00E5228F"/>
    <w:rsid w:val="00E524F8"/>
    <w:rsid w:val="00E52CD3"/>
    <w:rsid w:val="00E52D49"/>
    <w:rsid w:val="00E53412"/>
    <w:rsid w:val="00E53C65"/>
    <w:rsid w:val="00E5429B"/>
    <w:rsid w:val="00E5442C"/>
    <w:rsid w:val="00E55448"/>
    <w:rsid w:val="00E5544F"/>
    <w:rsid w:val="00E55794"/>
    <w:rsid w:val="00E56C49"/>
    <w:rsid w:val="00E5720B"/>
    <w:rsid w:val="00E579E9"/>
    <w:rsid w:val="00E57A90"/>
    <w:rsid w:val="00E57FAB"/>
    <w:rsid w:val="00E6055B"/>
    <w:rsid w:val="00E627E1"/>
    <w:rsid w:val="00E63517"/>
    <w:rsid w:val="00E63794"/>
    <w:rsid w:val="00E647DC"/>
    <w:rsid w:val="00E64AD0"/>
    <w:rsid w:val="00E65978"/>
    <w:rsid w:val="00E65AE0"/>
    <w:rsid w:val="00E66466"/>
    <w:rsid w:val="00E66598"/>
    <w:rsid w:val="00E66995"/>
    <w:rsid w:val="00E6717B"/>
    <w:rsid w:val="00E709D1"/>
    <w:rsid w:val="00E7138E"/>
    <w:rsid w:val="00E72453"/>
    <w:rsid w:val="00E726E7"/>
    <w:rsid w:val="00E72FC8"/>
    <w:rsid w:val="00E7307F"/>
    <w:rsid w:val="00E733D1"/>
    <w:rsid w:val="00E73B86"/>
    <w:rsid w:val="00E74C71"/>
    <w:rsid w:val="00E75309"/>
    <w:rsid w:val="00E75608"/>
    <w:rsid w:val="00E75F91"/>
    <w:rsid w:val="00E764C7"/>
    <w:rsid w:val="00E76A2E"/>
    <w:rsid w:val="00E7759D"/>
    <w:rsid w:val="00E779C4"/>
    <w:rsid w:val="00E800DA"/>
    <w:rsid w:val="00E80569"/>
    <w:rsid w:val="00E80D6F"/>
    <w:rsid w:val="00E815A0"/>
    <w:rsid w:val="00E81E92"/>
    <w:rsid w:val="00E8237B"/>
    <w:rsid w:val="00E82A91"/>
    <w:rsid w:val="00E82C00"/>
    <w:rsid w:val="00E833F0"/>
    <w:rsid w:val="00E8354E"/>
    <w:rsid w:val="00E83720"/>
    <w:rsid w:val="00E84216"/>
    <w:rsid w:val="00E847A7"/>
    <w:rsid w:val="00E84A3D"/>
    <w:rsid w:val="00E85FD2"/>
    <w:rsid w:val="00E863F6"/>
    <w:rsid w:val="00E865A7"/>
    <w:rsid w:val="00E901D7"/>
    <w:rsid w:val="00E91EFA"/>
    <w:rsid w:val="00E9293A"/>
    <w:rsid w:val="00E92CF9"/>
    <w:rsid w:val="00E94161"/>
    <w:rsid w:val="00E949F7"/>
    <w:rsid w:val="00E9509C"/>
    <w:rsid w:val="00E9521C"/>
    <w:rsid w:val="00E95DBF"/>
    <w:rsid w:val="00E96528"/>
    <w:rsid w:val="00E96CE4"/>
    <w:rsid w:val="00E9789C"/>
    <w:rsid w:val="00E9795C"/>
    <w:rsid w:val="00E97E23"/>
    <w:rsid w:val="00EA0215"/>
    <w:rsid w:val="00EA08E7"/>
    <w:rsid w:val="00EA100D"/>
    <w:rsid w:val="00EA189E"/>
    <w:rsid w:val="00EA2162"/>
    <w:rsid w:val="00EA2278"/>
    <w:rsid w:val="00EA355A"/>
    <w:rsid w:val="00EA3F43"/>
    <w:rsid w:val="00EA42DD"/>
    <w:rsid w:val="00EA4792"/>
    <w:rsid w:val="00EA4C1A"/>
    <w:rsid w:val="00EA4DC9"/>
    <w:rsid w:val="00EA5619"/>
    <w:rsid w:val="00EA569F"/>
    <w:rsid w:val="00EA57E5"/>
    <w:rsid w:val="00EA5AEA"/>
    <w:rsid w:val="00EA5E04"/>
    <w:rsid w:val="00EA6617"/>
    <w:rsid w:val="00EA70A8"/>
    <w:rsid w:val="00EA73CA"/>
    <w:rsid w:val="00EA7889"/>
    <w:rsid w:val="00EB0211"/>
    <w:rsid w:val="00EB1537"/>
    <w:rsid w:val="00EB5772"/>
    <w:rsid w:val="00EB5E08"/>
    <w:rsid w:val="00EB5E8F"/>
    <w:rsid w:val="00EB60F0"/>
    <w:rsid w:val="00EB6979"/>
    <w:rsid w:val="00EB6EBC"/>
    <w:rsid w:val="00EB6F38"/>
    <w:rsid w:val="00EB6F77"/>
    <w:rsid w:val="00EB6FA0"/>
    <w:rsid w:val="00EB6FB8"/>
    <w:rsid w:val="00EB7954"/>
    <w:rsid w:val="00EB7A4A"/>
    <w:rsid w:val="00EB7BDE"/>
    <w:rsid w:val="00EB7C93"/>
    <w:rsid w:val="00EC0828"/>
    <w:rsid w:val="00EC167C"/>
    <w:rsid w:val="00EC200D"/>
    <w:rsid w:val="00EC2994"/>
    <w:rsid w:val="00EC4BA7"/>
    <w:rsid w:val="00EC4D12"/>
    <w:rsid w:val="00EC50B0"/>
    <w:rsid w:val="00EC5353"/>
    <w:rsid w:val="00EC5583"/>
    <w:rsid w:val="00EC5753"/>
    <w:rsid w:val="00EC5B67"/>
    <w:rsid w:val="00EC5C53"/>
    <w:rsid w:val="00EC6837"/>
    <w:rsid w:val="00EC6911"/>
    <w:rsid w:val="00EC6AC4"/>
    <w:rsid w:val="00EC6F4C"/>
    <w:rsid w:val="00EC751A"/>
    <w:rsid w:val="00ED0538"/>
    <w:rsid w:val="00ED0814"/>
    <w:rsid w:val="00ED0D74"/>
    <w:rsid w:val="00ED1871"/>
    <w:rsid w:val="00ED2199"/>
    <w:rsid w:val="00ED2283"/>
    <w:rsid w:val="00ED2414"/>
    <w:rsid w:val="00ED26FC"/>
    <w:rsid w:val="00ED2709"/>
    <w:rsid w:val="00ED37A6"/>
    <w:rsid w:val="00ED3AC9"/>
    <w:rsid w:val="00ED4045"/>
    <w:rsid w:val="00ED5114"/>
    <w:rsid w:val="00ED5540"/>
    <w:rsid w:val="00ED5D95"/>
    <w:rsid w:val="00ED6140"/>
    <w:rsid w:val="00ED635D"/>
    <w:rsid w:val="00ED6AB1"/>
    <w:rsid w:val="00ED704F"/>
    <w:rsid w:val="00EE01AD"/>
    <w:rsid w:val="00EE14EA"/>
    <w:rsid w:val="00EE1A49"/>
    <w:rsid w:val="00EE2170"/>
    <w:rsid w:val="00EE2AC0"/>
    <w:rsid w:val="00EE2B8B"/>
    <w:rsid w:val="00EE368D"/>
    <w:rsid w:val="00EE5B09"/>
    <w:rsid w:val="00EE5D59"/>
    <w:rsid w:val="00EF0FB9"/>
    <w:rsid w:val="00EF1BCB"/>
    <w:rsid w:val="00EF1D5B"/>
    <w:rsid w:val="00EF2089"/>
    <w:rsid w:val="00EF3CC3"/>
    <w:rsid w:val="00EF4245"/>
    <w:rsid w:val="00EF4269"/>
    <w:rsid w:val="00EF562E"/>
    <w:rsid w:val="00EF5830"/>
    <w:rsid w:val="00EF7C72"/>
    <w:rsid w:val="00F008BF"/>
    <w:rsid w:val="00F0091F"/>
    <w:rsid w:val="00F00A6D"/>
    <w:rsid w:val="00F00CD6"/>
    <w:rsid w:val="00F01355"/>
    <w:rsid w:val="00F01981"/>
    <w:rsid w:val="00F01C8C"/>
    <w:rsid w:val="00F01F8A"/>
    <w:rsid w:val="00F0362C"/>
    <w:rsid w:val="00F039F9"/>
    <w:rsid w:val="00F03AC2"/>
    <w:rsid w:val="00F03BF0"/>
    <w:rsid w:val="00F03DE4"/>
    <w:rsid w:val="00F0406C"/>
    <w:rsid w:val="00F04E1E"/>
    <w:rsid w:val="00F05115"/>
    <w:rsid w:val="00F0593B"/>
    <w:rsid w:val="00F059B3"/>
    <w:rsid w:val="00F06360"/>
    <w:rsid w:val="00F065AB"/>
    <w:rsid w:val="00F067ED"/>
    <w:rsid w:val="00F06DA2"/>
    <w:rsid w:val="00F06E6D"/>
    <w:rsid w:val="00F07289"/>
    <w:rsid w:val="00F075FD"/>
    <w:rsid w:val="00F07DCF"/>
    <w:rsid w:val="00F100F4"/>
    <w:rsid w:val="00F1017D"/>
    <w:rsid w:val="00F10447"/>
    <w:rsid w:val="00F11CCB"/>
    <w:rsid w:val="00F12CB5"/>
    <w:rsid w:val="00F12F88"/>
    <w:rsid w:val="00F1303D"/>
    <w:rsid w:val="00F14229"/>
    <w:rsid w:val="00F143DA"/>
    <w:rsid w:val="00F15C25"/>
    <w:rsid w:val="00F15EE2"/>
    <w:rsid w:val="00F1603C"/>
    <w:rsid w:val="00F16192"/>
    <w:rsid w:val="00F17513"/>
    <w:rsid w:val="00F17901"/>
    <w:rsid w:val="00F21B2A"/>
    <w:rsid w:val="00F23704"/>
    <w:rsid w:val="00F23B31"/>
    <w:rsid w:val="00F23DBA"/>
    <w:rsid w:val="00F23F62"/>
    <w:rsid w:val="00F2405B"/>
    <w:rsid w:val="00F24F03"/>
    <w:rsid w:val="00F25DCA"/>
    <w:rsid w:val="00F27296"/>
    <w:rsid w:val="00F272C0"/>
    <w:rsid w:val="00F27742"/>
    <w:rsid w:val="00F30920"/>
    <w:rsid w:val="00F309B1"/>
    <w:rsid w:val="00F31D38"/>
    <w:rsid w:val="00F338BC"/>
    <w:rsid w:val="00F34BB5"/>
    <w:rsid w:val="00F35829"/>
    <w:rsid w:val="00F369FF"/>
    <w:rsid w:val="00F374F6"/>
    <w:rsid w:val="00F37561"/>
    <w:rsid w:val="00F3774D"/>
    <w:rsid w:val="00F40977"/>
    <w:rsid w:val="00F40DDE"/>
    <w:rsid w:val="00F422C2"/>
    <w:rsid w:val="00F4319B"/>
    <w:rsid w:val="00F449E4"/>
    <w:rsid w:val="00F44B0F"/>
    <w:rsid w:val="00F44F26"/>
    <w:rsid w:val="00F4565C"/>
    <w:rsid w:val="00F45EFF"/>
    <w:rsid w:val="00F464C5"/>
    <w:rsid w:val="00F465CF"/>
    <w:rsid w:val="00F4670E"/>
    <w:rsid w:val="00F467E1"/>
    <w:rsid w:val="00F46D6D"/>
    <w:rsid w:val="00F47006"/>
    <w:rsid w:val="00F511A5"/>
    <w:rsid w:val="00F52609"/>
    <w:rsid w:val="00F52693"/>
    <w:rsid w:val="00F52783"/>
    <w:rsid w:val="00F52CD0"/>
    <w:rsid w:val="00F52D4B"/>
    <w:rsid w:val="00F52E74"/>
    <w:rsid w:val="00F53009"/>
    <w:rsid w:val="00F53147"/>
    <w:rsid w:val="00F53D25"/>
    <w:rsid w:val="00F54970"/>
    <w:rsid w:val="00F54FFF"/>
    <w:rsid w:val="00F55441"/>
    <w:rsid w:val="00F554DB"/>
    <w:rsid w:val="00F567E9"/>
    <w:rsid w:val="00F56B80"/>
    <w:rsid w:val="00F60704"/>
    <w:rsid w:val="00F6076A"/>
    <w:rsid w:val="00F607F5"/>
    <w:rsid w:val="00F61908"/>
    <w:rsid w:val="00F62BB8"/>
    <w:rsid w:val="00F62C56"/>
    <w:rsid w:val="00F636F7"/>
    <w:rsid w:val="00F63CC4"/>
    <w:rsid w:val="00F63DE4"/>
    <w:rsid w:val="00F64635"/>
    <w:rsid w:val="00F64B3B"/>
    <w:rsid w:val="00F6592E"/>
    <w:rsid w:val="00F65AA1"/>
    <w:rsid w:val="00F660A5"/>
    <w:rsid w:val="00F67792"/>
    <w:rsid w:val="00F70009"/>
    <w:rsid w:val="00F703E2"/>
    <w:rsid w:val="00F70579"/>
    <w:rsid w:val="00F70700"/>
    <w:rsid w:val="00F71CA7"/>
    <w:rsid w:val="00F7258B"/>
    <w:rsid w:val="00F72963"/>
    <w:rsid w:val="00F740F4"/>
    <w:rsid w:val="00F7411A"/>
    <w:rsid w:val="00F74DB7"/>
    <w:rsid w:val="00F754C5"/>
    <w:rsid w:val="00F75E4B"/>
    <w:rsid w:val="00F76859"/>
    <w:rsid w:val="00F80443"/>
    <w:rsid w:val="00F83961"/>
    <w:rsid w:val="00F83A1C"/>
    <w:rsid w:val="00F8430A"/>
    <w:rsid w:val="00F846A8"/>
    <w:rsid w:val="00F84AAA"/>
    <w:rsid w:val="00F84BF6"/>
    <w:rsid w:val="00F8505A"/>
    <w:rsid w:val="00F85BDC"/>
    <w:rsid w:val="00F85CBD"/>
    <w:rsid w:val="00F86D97"/>
    <w:rsid w:val="00F86E2C"/>
    <w:rsid w:val="00F870AE"/>
    <w:rsid w:val="00F87D7B"/>
    <w:rsid w:val="00F87E3E"/>
    <w:rsid w:val="00F91064"/>
    <w:rsid w:val="00F910E0"/>
    <w:rsid w:val="00F91AC9"/>
    <w:rsid w:val="00F91C9A"/>
    <w:rsid w:val="00F92505"/>
    <w:rsid w:val="00F9400E"/>
    <w:rsid w:val="00F95CF1"/>
    <w:rsid w:val="00FA03AB"/>
    <w:rsid w:val="00FA0574"/>
    <w:rsid w:val="00FA0A02"/>
    <w:rsid w:val="00FA25FE"/>
    <w:rsid w:val="00FA2835"/>
    <w:rsid w:val="00FA440C"/>
    <w:rsid w:val="00FA45DF"/>
    <w:rsid w:val="00FA46B4"/>
    <w:rsid w:val="00FA4DB8"/>
    <w:rsid w:val="00FA5290"/>
    <w:rsid w:val="00FA55B9"/>
    <w:rsid w:val="00FA6774"/>
    <w:rsid w:val="00FA6A27"/>
    <w:rsid w:val="00FA6D05"/>
    <w:rsid w:val="00FA7292"/>
    <w:rsid w:val="00FB0C3D"/>
    <w:rsid w:val="00FB119C"/>
    <w:rsid w:val="00FB1853"/>
    <w:rsid w:val="00FB2423"/>
    <w:rsid w:val="00FB29C1"/>
    <w:rsid w:val="00FB2A47"/>
    <w:rsid w:val="00FB2C55"/>
    <w:rsid w:val="00FB34E2"/>
    <w:rsid w:val="00FB3ACC"/>
    <w:rsid w:val="00FB3FB1"/>
    <w:rsid w:val="00FB4161"/>
    <w:rsid w:val="00FB44B1"/>
    <w:rsid w:val="00FB4B2B"/>
    <w:rsid w:val="00FB4C0E"/>
    <w:rsid w:val="00FB56DB"/>
    <w:rsid w:val="00FB5D80"/>
    <w:rsid w:val="00FB6989"/>
    <w:rsid w:val="00FB6A78"/>
    <w:rsid w:val="00FB6DA6"/>
    <w:rsid w:val="00FB7D12"/>
    <w:rsid w:val="00FB7DE2"/>
    <w:rsid w:val="00FC00A1"/>
    <w:rsid w:val="00FC0D61"/>
    <w:rsid w:val="00FC1306"/>
    <w:rsid w:val="00FC21B6"/>
    <w:rsid w:val="00FC2E17"/>
    <w:rsid w:val="00FC4280"/>
    <w:rsid w:val="00FC43B8"/>
    <w:rsid w:val="00FD0044"/>
    <w:rsid w:val="00FD0EF0"/>
    <w:rsid w:val="00FD1ACE"/>
    <w:rsid w:val="00FD278F"/>
    <w:rsid w:val="00FD304D"/>
    <w:rsid w:val="00FD3DE1"/>
    <w:rsid w:val="00FD41FC"/>
    <w:rsid w:val="00FD4457"/>
    <w:rsid w:val="00FD59C8"/>
    <w:rsid w:val="00FD5F60"/>
    <w:rsid w:val="00FD6265"/>
    <w:rsid w:val="00FD6396"/>
    <w:rsid w:val="00FD6FB7"/>
    <w:rsid w:val="00FD78E5"/>
    <w:rsid w:val="00FE1696"/>
    <w:rsid w:val="00FE21C2"/>
    <w:rsid w:val="00FE2966"/>
    <w:rsid w:val="00FE2CDC"/>
    <w:rsid w:val="00FE2E6F"/>
    <w:rsid w:val="00FE4088"/>
    <w:rsid w:val="00FE4CC5"/>
    <w:rsid w:val="00FE695E"/>
    <w:rsid w:val="00FE6E88"/>
    <w:rsid w:val="00FE74FE"/>
    <w:rsid w:val="00FE7561"/>
    <w:rsid w:val="00FF04EB"/>
    <w:rsid w:val="00FF0837"/>
    <w:rsid w:val="00FF0C63"/>
    <w:rsid w:val="00FF2BF2"/>
    <w:rsid w:val="00FF3108"/>
    <w:rsid w:val="00FF3DB8"/>
    <w:rsid w:val="00FF4951"/>
    <w:rsid w:val="00FF555A"/>
    <w:rsid w:val="00FF5632"/>
    <w:rsid w:val="00FF64F5"/>
    <w:rsid w:val="00FF655C"/>
    <w:rsid w:val="00FF6B05"/>
    <w:rsid w:val="00FF6B2C"/>
    <w:rsid w:val="00FF6C0B"/>
    <w:rsid w:val="00FF6CC0"/>
    <w:rsid w:val="00FF6F7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80A2B8"/>
  <w15:docId w15:val="{27390354-9B5E-48F4-8178-79D2E052C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F5215"/>
    <w:rPr>
      <w:rFonts w:eastAsia="Times New Roman" w:cs="Times New Roman"/>
    </w:rPr>
  </w:style>
  <w:style w:type="paragraph" w:styleId="Titolo2">
    <w:name w:val="heading 2"/>
    <w:basedOn w:val="Normale"/>
    <w:link w:val="Titolo2Carattere"/>
    <w:uiPriority w:val="9"/>
    <w:qFormat/>
    <w:rsid w:val="001E2D64"/>
    <w:pPr>
      <w:spacing w:before="100" w:beforeAutospacing="1" w:after="100" w:afterAutospacing="1"/>
      <w:outlineLvl w:val="1"/>
    </w:pPr>
    <w:rPr>
      <w:rFonts w:ascii="Times New Roman" w:hAnsi="Times New Roman"/>
      <w:b/>
      <w:bCs/>
      <w:sz w:val="36"/>
      <w:szCs w:val="36"/>
      <w:lang w:eastAsia="it-IT"/>
    </w:rPr>
  </w:style>
  <w:style w:type="paragraph" w:styleId="Titolo3">
    <w:name w:val="heading 3"/>
    <w:basedOn w:val="Normale"/>
    <w:link w:val="Titolo3Carattere"/>
    <w:uiPriority w:val="9"/>
    <w:qFormat/>
    <w:rsid w:val="001E2D64"/>
    <w:pPr>
      <w:spacing w:before="100" w:beforeAutospacing="1" w:after="100" w:afterAutospacing="1"/>
      <w:outlineLvl w:val="2"/>
    </w:pPr>
    <w:rPr>
      <w:rFonts w:ascii="Times New Roman" w:hAnsi="Times New Roman"/>
      <w:b/>
      <w:bCs/>
      <w:sz w:val="27"/>
      <w:szCs w:val="27"/>
      <w:lang w:eastAsia="it-IT"/>
    </w:rPr>
  </w:style>
  <w:style w:type="paragraph" w:styleId="Titolo4">
    <w:name w:val="heading 4"/>
    <w:basedOn w:val="Normale"/>
    <w:next w:val="Normale"/>
    <w:link w:val="Titolo4Carattere"/>
    <w:uiPriority w:val="9"/>
    <w:unhideWhenUsed/>
    <w:qFormat/>
    <w:rsid w:val="0011476F"/>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B4421"/>
    <w:pPr>
      <w:tabs>
        <w:tab w:val="center" w:pos="4819"/>
        <w:tab w:val="right" w:pos="9638"/>
      </w:tabs>
    </w:pPr>
  </w:style>
  <w:style w:type="character" w:customStyle="1" w:styleId="IntestazioneCarattere">
    <w:name w:val="Intestazione Carattere"/>
    <w:basedOn w:val="Carpredefinitoparagrafo"/>
    <w:link w:val="Intestazione"/>
    <w:uiPriority w:val="99"/>
    <w:rsid w:val="005B4421"/>
  </w:style>
  <w:style w:type="paragraph" w:styleId="Pidipagina">
    <w:name w:val="footer"/>
    <w:basedOn w:val="Normale"/>
    <w:link w:val="PidipaginaCarattere"/>
    <w:uiPriority w:val="99"/>
    <w:unhideWhenUsed/>
    <w:rsid w:val="005B4421"/>
    <w:pPr>
      <w:tabs>
        <w:tab w:val="center" w:pos="4819"/>
        <w:tab w:val="right" w:pos="9638"/>
      </w:tabs>
    </w:pPr>
  </w:style>
  <w:style w:type="character" w:customStyle="1" w:styleId="PidipaginaCarattere">
    <w:name w:val="Piè di pagina Carattere"/>
    <w:basedOn w:val="Carpredefinitoparagrafo"/>
    <w:link w:val="Pidipagina"/>
    <w:uiPriority w:val="99"/>
    <w:rsid w:val="005B4421"/>
  </w:style>
  <w:style w:type="paragraph" w:styleId="Paragrafoelenco">
    <w:name w:val="List Paragraph"/>
    <w:basedOn w:val="Normale"/>
    <w:uiPriority w:val="34"/>
    <w:qFormat/>
    <w:rsid w:val="00AF6FFD"/>
    <w:pPr>
      <w:ind w:left="720"/>
      <w:contextualSpacing/>
    </w:pPr>
  </w:style>
  <w:style w:type="character" w:styleId="Enfasicorsivo">
    <w:name w:val="Emphasis"/>
    <w:basedOn w:val="Carpredefinitoparagrafo"/>
    <w:uiPriority w:val="20"/>
    <w:qFormat/>
    <w:rsid w:val="001E2D64"/>
    <w:rPr>
      <w:i/>
      <w:iCs/>
    </w:rPr>
  </w:style>
  <w:style w:type="character" w:customStyle="1" w:styleId="Titolo2Carattere">
    <w:name w:val="Titolo 2 Carattere"/>
    <w:basedOn w:val="Carpredefinitoparagrafo"/>
    <w:link w:val="Titolo2"/>
    <w:uiPriority w:val="9"/>
    <w:rsid w:val="001E2D64"/>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1E2D64"/>
    <w:rPr>
      <w:rFonts w:ascii="Times New Roman" w:eastAsia="Times New Roman" w:hAnsi="Times New Roman" w:cs="Times New Roman"/>
      <w:b/>
      <w:bCs/>
      <w:sz w:val="27"/>
      <w:szCs w:val="27"/>
      <w:lang w:eastAsia="it-IT"/>
    </w:rPr>
  </w:style>
  <w:style w:type="character" w:styleId="Enfasigrassetto">
    <w:name w:val="Strong"/>
    <w:basedOn w:val="Carpredefinitoparagrafo"/>
    <w:uiPriority w:val="22"/>
    <w:qFormat/>
    <w:rsid w:val="00F44B0F"/>
    <w:rPr>
      <w:b/>
      <w:bCs/>
    </w:rPr>
  </w:style>
  <w:style w:type="character" w:styleId="Collegamentoipertestuale">
    <w:name w:val="Hyperlink"/>
    <w:basedOn w:val="Carpredefinitoparagrafo"/>
    <w:uiPriority w:val="99"/>
    <w:unhideWhenUsed/>
    <w:rsid w:val="007328B6"/>
    <w:rPr>
      <w:color w:val="0000FF"/>
      <w:u w:val="single"/>
    </w:rPr>
  </w:style>
  <w:style w:type="paragraph" w:customStyle="1" w:styleId="Default">
    <w:name w:val="Default"/>
    <w:link w:val="DefaultCarattere"/>
    <w:rsid w:val="00A556BA"/>
    <w:pPr>
      <w:autoSpaceDE w:val="0"/>
      <w:autoSpaceDN w:val="0"/>
      <w:adjustRightInd w:val="0"/>
    </w:pPr>
    <w:rPr>
      <w:rFonts w:ascii="Arial" w:hAnsi="Arial" w:cs="Arial"/>
      <w:color w:val="000000"/>
      <w:sz w:val="24"/>
      <w:szCs w:val="24"/>
    </w:rPr>
  </w:style>
  <w:style w:type="character" w:customStyle="1" w:styleId="Titolo4Carattere">
    <w:name w:val="Titolo 4 Carattere"/>
    <w:basedOn w:val="Carpredefinitoparagrafo"/>
    <w:link w:val="Titolo4"/>
    <w:uiPriority w:val="9"/>
    <w:rsid w:val="0011476F"/>
    <w:rPr>
      <w:rFonts w:asciiTheme="majorHAnsi" w:eastAsiaTheme="majorEastAsia" w:hAnsiTheme="majorHAnsi" w:cstheme="majorBidi"/>
      <w:i/>
      <w:iCs/>
      <w:color w:val="2F5496" w:themeColor="accent1" w:themeShade="BF"/>
    </w:rPr>
  </w:style>
  <w:style w:type="table" w:styleId="Grigliatabella">
    <w:name w:val="Table Grid"/>
    <w:basedOn w:val="Tabellanormale"/>
    <w:uiPriority w:val="39"/>
    <w:rsid w:val="00D14E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8F2A3C"/>
    <w:rPr>
      <w:color w:val="605E5C"/>
      <w:shd w:val="clear" w:color="auto" w:fill="E1DFDD"/>
    </w:rPr>
  </w:style>
  <w:style w:type="character" w:customStyle="1" w:styleId="NessunoB">
    <w:name w:val="Nessuno B"/>
    <w:rsid w:val="00923552"/>
    <w:rPr>
      <w:lang w:val="it-IT"/>
    </w:rPr>
  </w:style>
  <w:style w:type="character" w:customStyle="1" w:styleId="NessunoA">
    <w:name w:val="Nessuno A"/>
    <w:basedOn w:val="NessunoB"/>
    <w:rsid w:val="00923552"/>
    <w:rPr>
      <w:lang w:val="it-IT"/>
    </w:rPr>
  </w:style>
  <w:style w:type="character" w:customStyle="1" w:styleId="DefaultCarattere">
    <w:name w:val="Default Carattere"/>
    <w:link w:val="Default"/>
    <w:rsid w:val="00923552"/>
    <w:rPr>
      <w:rFonts w:ascii="Arial" w:hAnsi="Arial" w:cs="Arial"/>
      <w:color w:val="000000"/>
      <w:sz w:val="24"/>
      <w:szCs w:val="24"/>
    </w:rPr>
  </w:style>
  <w:style w:type="character" w:customStyle="1" w:styleId="Hyperlink2">
    <w:name w:val="Hyperlink.2"/>
    <w:basedOn w:val="NessunoA"/>
    <w:rsid w:val="00923552"/>
    <w:rPr>
      <w:lang w:val="it-IT"/>
    </w:rPr>
  </w:style>
  <w:style w:type="character" w:customStyle="1" w:styleId="Nessuno">
    <w:name w:val="Nessuno"/>
    <w:rsid w:val="008E31E9"/>
  </w:style>
  <w:style w:type="numbering" w:customStyle="1" w:styleId="Puntielenco">
    <w:name w:val="Punti elenco"/>
    <w:rsid w:val="00FD3DE1"/>
    <w:pPr>
      <w:numPr>
        <w:numId w:val="1"/>
      </w:numPr>
    </w:pPr>
  </w:style>
  <w:style w:type="numbering" w:customStyle="1" w:styleId="Stileimportato8">
    <w:name w:val="Stile importato 8"/>
    <w:rsid w:val="00B06F3A"/>
    <w:pPr>
      <w:numPr>
        <w:numId w:val="2"/>
      </w:numPr>
    </w:pPr>
  </w:style>
  <w:style w:type="paragraph" w:customStyle="1" w:styleId="DidefaultB">
    <w:name w:val="Di default B"/>
    <w:rsid w:val="00B06F3A"/>
    <w:pPr>
      <w:pBdr>
        <w:top w:val="nil"/>
        <w:left w:val="nil"/>
        <w:bottom w:val="nil"/>
        <w:right w:val="nil"/>
        <w:between w:val="nil"/>
        <w:bar w:val="nil"/>
      </w:pBdr>
    </w:pPr>
    <w:rPr>
      <w:rFonts w:ascii="Helvetica" w:eastAsia="Arial Unicode MS" w:hAnsi="Helvetica" w:cs="Arial Unicode MS"/>
      <w:color w:val="000000"/>
      <w:u w:color="000000"/>
      <w:bdr w:val="nil"/>
      <w:lang w:eastAsia="it-IT"/>
    </w:rPr>
  </w:style>
  <w:style w:type="paragraph" w:styleId="NormaleWeb">
    <w:name w:val="Normal (Web)"/>
    <w:uiPriority w:val="99"/>
    <w:rsid w:val="00B06F3A"/>
    <w:pPr>
      <w:pBdr>
        <w:top w:val="nil"/>
        <w:left w:val="nil"/>
        <w:bottom w:val="nil"/>
        <w:right w:val="nil"/>
        <w:between w:val="nil"/>
        <w:bar w:val="nil"/>
      </w:pBdr>
      <w:spacing w:before="100" w:after="100"/>
    </w:pPr>
    <w:rPr>
      <w:rFonts w:ascii="Times New Roman" w:eastAsia="Times New Roman" w:hAnsi="Times New Roman" w:cs="Times New Roman"/>
      <w:color w:val="000000"/>
      <w:sz w:val="24"/>
      <w:szCs w:val="24"/>
      <w:u w:color="000000"/>
      <w:bdr w:val="nil"/>
      <w:lang w:eastAsia="it-IT"/>
    </w:rPr>
  </w:style>
  <w:style w:type="numbering" w:customStyle="1" w:styleId="Stileimportato10">
    <w:name w:val="Stile importato 1.0"/>
    <w:rsid w:val="00B06F3A"/>
    <w:pPr>
      <w:numPr>
        <w:numId w:val="3"/>
      </w:numPr>
    </w:pPr>
  </w:style>
  <w:style w:type="paragraph" w:styleId="Testonotaapidipagina">
    <w:name w:val="footnote text"/>
    <w:basedOn w:val="Normale"/>
    <w:link w:val="TestonotaapidipaginaCarattere"/>
    <w:uiPriority w:val="99"/>
    <w:unhideWhenUsed/>
    <w:rsid w:val="00A97DCF"/>
    <w:rPr>
      <w:rFonts w:ascii="Calibri" w:eastAsia="Calibri" w:hAnsi="Calibri"/>
      <w:sz w:val="20"/>
      <w:szCs w:val="20"/>
    </w:rPr>
  </w:style>
  <w:style w:type="character" w:customStyle="1" w:styleId="TestonotaapidipaginaCarattere">
    <w:name w:val="Testo nota a piè di pagina Carattere"/>
    <w:basedOn w:val="Carpredefinitoparagrafo"/>
    <w:link w:val="Testonotaapidipagina"/>
    <w:uiPriority w:val="99"/>
    <w:rsid w:val="00A97DCF"/>
    <w:rPr>
      <w:rFonts w:ascii="Calibri" w:eastAsia="Calibri" w:hAnsi="Calibri" w:cs="Times New Roman"/>
      <w:sz w:val="20"/>
      <w:szCs w:val="20"/>
    </w:rPr>
  </w:style>
  <w:style w:type="character" w:styleId="Rimandonotaapidipagina">
    <w:name w:val="footnote reference"/>
    <w:uiPriority w:val="99"/>
    <w:unhideWhenUsed/>
    <w:rsid w:val="00A97DCF"/>
    <w:rPr>
      <w:vertAlign w:val="superscript"/>
    </w:rPr>
  </w:style>
  <w:style w:type="character" w:styleId="Rimandocommento">
    <w:name w:val="annotation reference"/>
    <w:basedOn w:val="Carpredefinitoparagrafo"/>
    <w:uiPriority w:val="99"/>
    <w:semiHidden/>
    <w:unhideWhenUsed/>
    <w:rsid w:val="00326BB8"/>
    <w:rPr>
      <w:sz w:val="16"/>
      <w:szCs w:val="16"/>
    </w:rPr>
  </w:style>
  <w:style w:type="paragraph" w:styleId="Testocommento">
    <w:name w:val="annotation text"/>
    <w:basedOn w:val="Normale"/>
    <w:link w:val="TestocommentoCarattere"/>
    <w:uiPriority w:val="99"/>
    <w:semiHidden/>
    <w:unhideWhenUsed/>
    <w:rsid w:val="00326BB8"/>
    <w:rPr>
      <w:sz w:val="20"/>
      <w:szCs w:val="20"/>
    </w:rPr>
  </w:style>
  <w:style w:type="character" w:customStyle="1" w:styleId="TestocommentoCarattere">
    <w:name w:val="Testo commento Carattere"/>
    <w:basedOn w:val="Carpredefinitoparagrafo"/>
    <w:link w:val="Testocommento"/>
    <w:uiPriority w:val="99"/>
    <w:semiHidden/>
    <w:rsid w:val="00326BB8"/>
    <w:rPr>
      <w:sz w:val="20"/>
      <w:szCs w:val="20"/>
    </w:rPr>
  </w:style>
  <w:style w:type="paragraph" w:styleId="Soggettocommento">
    <w:name w:val="annotation subject"/>
    <w:basedOn w:val="Testocommento"/>
    <w:next w:val="Testocommento"/>
    <w:link w:val="SoggettocommentoCarattere"/>
    <w:uiPriority w:val="99"/>
    <w:semiHidden/>
    <w:unhideWhenUsed/>
    <w:rsid w:val="00326BB8"/>
    <w:rPr>
      <w:b/>
      <w:bCs/>
    </w:rPr>
  </w:style>
  <w:style w:type="character" w:customStyle="1" w:styleId="SoggettocommentoCarattere">
    <w:name w:val="Soggetto commento Carattere"/>
    <w:basedOn w:val="TestocommentoCarattere"/>
    <w:link w:val="Soggettocommento"/>
    <w:uiPriority w:val="99"/>
    <w:semiHidden/>
    <w:rsid w:val="00326BB8"/>
    <w:rPr>
      <w:b/>
      <w:bCs/>
      <w:sz w:val="20"/>
      <w:szCs w:val="20"/>
    </w:rPr>
  </w:style>
  <w:style w:type="numbering" w:customStyle="1" w:styleId="Stileimportato9">
    <w:name w:val="Stile importato 9"/>
    <w:rsid w:val="00A42883"/>
    <w:pPr>
      <w:numPr>
        <w:numId w:val="4"/>
      </w:numPr>
    </w:pPr>
  </w:style>
  <w:style w:type="numbering" w:customStyle="1" w:styleId="Stileimportato100">
    <w:name w:val="Stile importato 1.0.0"/>
    <w:rsid w:val="00A42883"/>
    <w:pPr>
      <w:numPr>
        <w:numId w:val="5"/>
      </w:numPr>
    </w:pPr>
  </w:style>
  <w:style w:type="table" w:customStyle="1" w:styleId="Grigliatabella1">
    <w:name w:val="Griglia tabella1"/>
    <w:basedOn w:val="Tabellanormale"/>
    <w:uiPriority w:val="39"/>
    <w:rsid w:val="005241F6"/>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5241F6"/>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241F6"/>
    <w:rPr>
      <w:rFonts w:ascii="Segoe UI" w:hAnsi="Segoe UI" w:cs="Segoe UI"/>
      <w:sz w:val="18"/>
      <w:szCs w:val="18"/>
    </w:rPr>
  </w:style>
  <w:style w:type="character" w:customStyle="1" w:styleId="st1">
    <w:name w:val="st1"/>
    <w:rsid w:val="0006098C"/>
  </w:style>
  <w:style w:type="paragraph" w:styleId="PreformattatoHTML">
    <w:name w:val="HTML Preformatted"/>
    <w:basedOn w:val="Normale"/>
    <w:link w:val="PreformattatoHTMLCarattere"/>
    <w:uiPriority w:val="99"/>
    <w:unhideWhenUsed/>
    <w:rsid w:val="00AF13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nsolas" w:eastAsiaTheme="minorHAnsi" w:hAnsi="Consolas" w:cs="Courier New"/>
      <w:sz w:val="20"/>
      <w:szCs w:val="20"/>
    </w:rPr>
  </w:style>
  <w:style w:type="character" w:customStyle="1" w:styleId="PreformattatoHTMLCarattere">
    <w:name w:val="Preformattato HTML Carattere"/>
    <w:basedOn w:val="Carpredefinitoparagrafo"/>
    <w:link w:val="PreformattatoHTML"/>
    <w:uiPriority w:val="99"/>
    <w:rsid w:val="00AF13DF"/>
    <w:rPr>
      <w:rFonts w:ascii="Consolas" w:hAnsi="Consolas" w:cs="Courier New"/>
      <w:sz w:val="20"/>
      <w:szCs w:val="20"/>
    </w:rPr>
  </w:style>
  <w:style w:type="character" w:styleId="Collegamentovisitato">
    <w:name w:val="FollowedHyperlink"/>
    <w:basedOn w:val="Carpredefinitoparagrafo"/>
    <w:uiPriority w:val="99"/>
    <w:semiHidden/>
    <w:unhideWhenUsed/>
    <w:rsid w:val="005275E4"/>
    <w:rPr>
      <w:color w:val="954F72" w:themeColor="followedHyperlink"/>
      <w:u w:val="single"/>
    </w:rPr>
  </w:style>
  <w:style w:type="paragraph" w:customStyle="1" w:styleId="xxxelementtoproof">
    <w:name w:val="x_x_x_elementtoproof"/>
    <w:basedOn w:val="Normale"/>
    <w:rsid w:val="00650A77"/>
    <w:pPr>
      <w:spacing w:before="100" w:beforeAutospacing="1" w:after="100" w:afterAutospacing="1"/>
    </w:pPr>
    <w:rPr>
      <w:rFonts w:ascii="Calibri" w:eastAsiaTheme="minorHAnsi" w:hAnsi="Calibri" w:cs="Calibri"/>
      <w:lang w:eastAsia="it-IT"/>
    </w:rPr>
  </w:style>
  <w:style w:type="numbering" w:customStyle="1" w:styleId="Elencocorrente1">
    <w:name w:val="Elenco corrente1"/>
    <w:uiPriority w:val="99"/>
    <w:rsid w:val="003D2847"/>
    <w:pPr>
      <w:numPr>
        <w:numId w:val="9"/>
      </w:numPr>
    </w:pPr>
  </w:style>
  <w:style w:type="table" w:customStyle="1" w:styleId="Grigliatabella2">
    <w:name w:val="Griglia tabella2"/>
    <w:basedOn w:val="Tabellanormale"/>
    <w:next w:val="Grigliatabella"/>
    <w:uiPriority w:val="39"/>
    <w:rsid w:val="004F15F3"/>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rsid w:val="00A4108C"/>
    <w:pPr>
      <w:pBdr>
        <w:top w:val="nil"/>
        <w:left w:val="nil"/>
        <w:bottom w:val="nil"/>
        <w:right w:val="nil"/>
        <w:between w:val="nil"/>
        <w:bar w:val="nil"/>
      </w:pBdr>
    </w:pPr>
    <w:rPr>
      <w:rFonts w:ascii="Times New Roman" w:eastAsia="Arial Unicode MS" w:hAnsi="Times New Roman" w:cs="Times New Roman"/>
      <w:sz w:val="20"/>
      <w:szCs w:val="20"/>
      <w:bdr w:val="nil"/>
      <w:lang w:eastAsia="it-IT"/>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46384">
      <w:bodyDiv w:val="1"/>
      <w:marLeft w:val="0"/>
      <w:marRight w:val="0"/>
      <w:marTop w:val="0"/>
      <w:marBottom w:val="0"/>
      <w:divBdr>
        <w:top w:val="none" w:sz="0" w:space="0" w:color="auto"/>
        <w:left w:val="none" w:sz="0" w:space="0" w:color="auto"/>
        <w:bottom w:val="none" w:sz="0" w:space="0" w:color="auto"/>
        <w:right w:val="none" w:sz="0" w:space="0" w:color="auto"/>
      </w:divBdr>
    </w:div>
    <w:div w:id="25376293">
      <w:bodyDiv w:val="1"/>
      <w:marLeft w:val="0"/>
      <w:marRight w:val="0"/>
      <w:marTop w:val="0"/>
      <w:marBottom w:val="0"/>
      <w:divBdr>
        <w:top w:val="none" w:sz="0" w:space="0" w:color="auto"/>
        <w:left w:val="none" w:sz="0" w:space="0" w:color="auto"/>
        <w:bottom w:val="none" w:sz="0" w:space="0" w:color="auto"/>
        <w:right w:val="none" w:sz="0" w:space="0" w:color="auto"/>
      </w:divBdr>
      <w:divsChild>
        <w:div w:id="432361726">
          <w:marLeft w:val="0"/>
          <w:marRight w:val="0"/>
          <w:marTop w:val="0"/>
          <w:marBottom w:val="0"/>
          <w:divBdr>
            <w:top w:val="none" w:sz="0" w:space="0" w:color="auto"/>
            <w:left w:val="none" w:sz="0" w:space="0" w:color="auto"/>
            <w:bottom w:val="none" w:sz="0" w:space="0" w:color="auto"/>
            <w:right w:val="none" w:sz="0" w:space="0" w:color="auto"/>
          </w:divBdr>
        </w:div>
        <w:div w:id="509679173">
          <w:marLeft w:val="0"/>
          <w:marRight w:val="0"/>
          <w:marTop w:val="0"/>
          <w:marBottom w:val="0"/>
          <w:divBdr>
            <w:top w:val="none" w:sz="0" w:space="0" w:color="auto"/>
            <w:left w:val="none" w:sz="0" w:space="0" w:color="auto"/>
            <w:bottom w:val="none" w:sz="0" w:space="0" w:color="auto"/>
            <w:right w:val="none" w:sz="0" w:space="0" w:color="auto"/>
          </w:divBdr>
        </w:div>
        <w:div w:id="632323585">
          <w:marLeft w:val="0"/>
          <w:marRight w:val="0"/>
          <w:marTop w:val="0"/>
          <w:marBottom w:val="0"/>
          <w:divBdr>
            <w:top w:val="none" w:sz="0" w:space="0" w:color="auto"/>
            <w:left w:val="none" w:sz="0" w:space="0" w:color="auto"/>
            <w:bottom w:val="none" w:sz="0" w:space="0" w:color="auto"/>
            <w:right w:val="none" w:sz="0" w:space="0" w:color="auto"/>
          </w:divBdr>
        </w:div>
        <w:div w:id="890337478">
          <w:marLeft w:val="0"/>
          <w:marRight w:val="0"/>
          <w:marTop w:val="0"/>
          <w:marBottom w:val="0"/>
          <w:divBdr>
            <w:top w:val="none" w:sz="0" w:space="0" w:color="auto"/>
            <w:left w:val="none" w:sz="0" w:space="0" w:color="auto"/>
            <w:bottom w:val="none" w:sz="0" w:space="0" w:color="auto"/>
            <w:right w:val="none" w:sz="0" w:space="0" w:color="auto"/>
          </w:divBdr>
        </w:div>
        <w:div w:id="1816943829">
          <w:marLeft w:val="0"/>
          <w:marRight w:val="0"/>
          <w:marTop w:val="0"/>
          <w:marBottom w:val="0"/>
          <w:divBdr>
            <w:top w:val="none" w:sz="0" w:space="0" w:color="auto"/>
            <w:left w:val="none" w:sz="0" w:space="0" w:color="auto"/>
            <w:bottom w:val="none" w:sz="0" w:space="0" w:color="auto"/>
            <w:right w:val="none" w:sz="0" w:space="0" w:color="auto"/>
          </w:divBdr>
        </w:div>
      </w:divsChild>
    </w:div>
    <w:div w:id="25715250">
      <w:bodyDiv w:val="1"/>
      <w:marLeft w:val="0"/>
      <w:marRight w:val="0"/>
      <w:marTop w:val="0"/>
      <w:marBottom w:val="0"/>
      <w:divBdr>
        <w:top w:val="none" w:sz="0" w:space="0" w:color="auto"/>
        <w:left w:val="none" w:sz="0" w:space="0" w:color="auto"/>
        <w:bottom w:val="none" w:sz="0" w:space="0" w:color="auto"/>
        <w:right w:val="none" w:sz="0" w:space="0" w:color="auto"/>
      </w:divBdr>
    </w:div>
    <w:div w:id="111169531">
      <w:bodyDiv w:val="1"/>
      <w:marLeft w:val="0"/>
      <w:marRight w:val="0"/>
      <w:marTop w:val="0"/>
      <w:marBottom w:val="0"/>
      <w:divBdr>
        <w:top w:val="none" w:sz="0" w:space="0" w:color="auto"/>
        <w:left w:val="none" w:sz="0" w:space="0" w:color="auto"/>
        <w:bottom w:val="none" w:sz="0" w:space="0" w:color="auto"/>
        <w:right w:val="none" w:sz="0" w:space="0" w:color="auto"/>
      </w:divBdr>
    </w:div>
    <w:div w:id="190067909">
      <w:bodyDiv w:val="1"/>
      <w:marLeft w:val="0"/>
      <w:marRight w:val="0"/>
      <w:marTop w:val="0"/>
      <w:marBottom w:val="0"/>
      <w:divBdr>
        <w:top w:val="none" w:sz="0" w:space="0" w:color="auto"/>
        <w:left w:val="none" w:sz="0" w:space="0" w:color="auto"/>
        <w:bottom w:val="none" w:sz="0" w:space="0" w:color="auto"/>
        <w:right w:val="none" w:sz="0" w:space="0" w:color="auto"/>
      </w:divBdr>
    </w:div>
    <w:div w:id="253173334">
      <w:bodyDiv w:val="1"/>
      <w:marLeft w:val="0"/>
      <w:marRight w:val="0"/>
      <w:marTop w:val="0"/>
      <w:marBottom w:val="0"/>
      <w:divBdr>
        <w:top w:val="none" w:sz="0" w:space="0" w:color="auto"/>
        <w:left w:val="none" w:sz="0" w:space="0" w:color="auto"/>
        <w:bottom w:val="none" w:sz="0" w:space="0" w:color="auto"/>
        <w:right w:val="none" w:sz="0" w:space="0" w:color="auto"/>
      </w:divBdr>
    </w:div>
    <w:div w:id="262689836">
      <w:bodyDiv w:val="1"/>
      <w:marLeft w:val="0"/>
      <w:marRight w:val="0"/>
      <w:marTop w:val="0"/>
      <w:marBottom w:val="0"/>
      <w:divBdr>
        <w:top w:val="none" w:sz="0" w:space="0" w:color="auto"/>
        <w:left w:val="none" w:sz="0" w:space="0" w:color="auto"/>
        <w:bottom w:val="none" w:sz="0" w:space="0" w:color="auto"/>
        <w:right w:val="none" w:sz="0" w:space="0" w:color="auto"/>
      </w:divBdr>
    </w:div>
    <w:div w:id="295723360">
      <w:bodyDiv w:val="1"/>
      <w:marLeft w:val="0"/>
      <w:marRight w:val="0"/>
      <w:marTop w:val="0"/>
      <w:marBottom w:val="0"/>
      <w:divBdr>
        <w:top w:val="none" w:sz="0" w:space="0" w:color="auto"/>
        <w:left w:val="none" w:sz="0" w:space="0" w:color="auto"/>
        <w:bottom w:val="none" w:sz="0" w:space="0" w:color="auto"/>
        <w:right w:val="none" w:sz="0" w:space="0" w:color="auto"/>
      </w:divBdr>
    </w:div>
    <w:div w:id="316809234">
      <w:bodyDiv w:val="1"/>
      <w:marLeft w:val="0"/>
      <w:marRight w:val="0"/>
      <w:marTop w:val="0"/>
      <w:marBottom w:val="0"/>
      <w:divBdr>
        <w:top w:val="none" w:sz="0" w:space="0" w:color="auto"/>
        <w:left w:val="none" w:sz="0" w:space="0" w:color="auto"/>
        <w:bottom w:val="none" w:sz="0" w:space="0" w:color="auto"/>
        <w:right w:val="none" w:sz="0" w:space="0" w:color="auto"/>
      </w:divBdr>
    </w:div>
    <w:div w:id="436800775">
      <w:bodyDiv w:val="1"/>
      <w:marLeft w:val="0"/>
      <w:marRight w:val="0"/>
      <w:marTop w:val="0"/>
      <w:marBottom w:val="0"/>
      <w:divBdr>
        <w:top w:val="none" w:sz="0" w:space="0" w:color="auto"/>
        <w:left w:val="none" w:sz="0" w:space="0" w:color="auto"/>
        <w:bottom w:val="none" w:sz="0" w:space="0" w:color="auto"/>
        <w:right w:val="none" w:sz="0" w:space="0" w:color="auto"/>
      </w:divBdr>
    </w:div>
    <w:div w:id="453065146">
      <w:bodyDiv w:val="1"/>
      <w:marLeft w:val="0"/>
      <w:marRight w:val="0"/>
      <w:marTop w:val="0"/>
      <w:marBottom w:val="0"/>
      <w:divBdr>
        <w:top w:val="none" w:sz="0" w:space="0" w:color="auto"/>
        <w:left w:val="none" w:sz="0" w:space="0" w:color="auto"/>
        <w:bottom w:val="none" w:sz="0" w:space="0" w:color="auto"/>
        <w:right w:val="none" w:sz="0" w:space="0" w:color="auto"/>
      </w:divBdr>
    </w:div>
    <w:div w:id="499858610">
      <w:bodyDiv w:val="1"/>
      <w:marLeft w:val="0"/>
      <w:marRight w:val="0"/>
      <w:marTop w:val="0"/>
      <w:marBottom w:val="0"/>
      <w:divBdr>
        <w:top w:val="none" w:sz="0" w:space="0" w:color="auto"/>
        <w:left w:val="none" w:sz="0" w:space="0" w:color="auto"/>
        <w:bottom w:val="none" w:sz="0" w:space="0" w:color="auto"/>
        <w:right w:val="none" w:sz="0" w:space="0" w:color="auto"/>
      </w:divBdr>
    </w:div>
    <w:div w:id="525096606">
      <w:bodyDiv w:val="1"/>
      <w:marLeft w:val="0"/>
      <w:marRight w:val="0"/>
      <w:marTop w:val="0"/>
      <w:marBottom w:val="0"/>
      <w:divBdr>
        <w:top w:val="none" w:sz="0" w:space="0" w:color="auto"/>
        <w:left w:val="none" w:sz="0" w:space="0" w:color="auto"/>
        <w:bottom w:val="none" w:sz="0" w:space="0" w:color="auto"/>
        <w:right w:val="none" w:sz="0" w:space="0" w:color="auto"/>
      </w:divBdr>
    </w:div>
    <w:div w:id="547448374">
      <w:bodyDiv w:val="1"/>
      <w:marLeft w:val="0"/>
      <w:marRight w:val="0"/>
      <w:marTop w:val="0"/>
      <w:marBottom w:val="0"/>
      <w:divBdr>
        <w:top w:val="none" w:sz="0" w:space="0" w:color="auto"/>
        <w:left w:val="none" w:sz="0" w:space="0" w:color="auto"/>
        <w:bottom w:val="none" w:sz="0" w:space="0" w:color="auto"/>
        <w:right w:val="none" w:sz="0" w:space="0" w:color="auto"/>
      </w:divBdr>
    </w:div>
    <w:div w:id="573588940">
      <w:bodyDiv w:val="1"/>
      <w:marLeft w:val="0"/>
      <w:marRight w:val="0"/>
      <w:marTop w:val="0"/>
      <w:marBottom w:val="0"/>
      <w:divBdr>
        <w:top w:val="none" w:sz="0" w:space="0" w:color="auto"/>
        <w:left w:val="none" w:sz="0" w:space="0" w:color="auto"/>
        <w:bottom w:val="none" w:sz="0" w:space="0" w:color="auto"/>
        <w:right w:val="none" w:sz="0" w:space="0" w:color="auto"/>
      </w:divBdr>
    </w:div>
    <w:div w:id="585187051">
      <w:bodyDiv w:val="1"/>
      <w:marLeft w:val="0"/>
      <w:marRight w:val="0"/>
      <w:marTop w:val="0"/>
      <w:marBottom w:val="0"/>
      <w:divBdr>
        <w:top w:val="none" w:sz="0" w:space="0" w:color="auto"/>
        <w:left w:val="none" w:sz="0" w:space="0" w:color="auto"/>
        <w:bottom w:val="none" w:sz="0" w:space="0" w:color="auto"/>
        <w:right w:val="none" w:sz="0" w:space="0" w:color="auto"/>
      </w:divBdr>
    </w:div>
    <w:div w:id="595746768">
      <w:bodyDiv w:val="1"/>
      <w:marLeft w:val="0"/>
      <w:marRight w:val="0"/>
      <w:marTop w:val="0"/>
      <w:marBottom w:val="0"/>
      <w:divBdr>
        <w:top w:val="none" w:sz="0" w:space="0" w:color="auto"/>
        <w:left w:val="none" w:sz="0" w:space="0" w:color="auto"/>
        <w:bottom w:val="none" w:sz="0" w:space="0" w:color="auto"/>
        <w:right w:val="none" w:sz="0" w:space="0" w:color="auto"/>
      </w:divBdr>
    </w:div>
    <w:div w:id="597442036">
      <w:bodyDiv w:val="1"/>
      <w:marLeft w:val="0"/>
      <w:marRight w:val="0"/>
      <w:marTop w:val="0"/>
      <w:marBottom w:val="0"/>
      <w:divBdr>
        <w:top w:val="none" w:sz="0" w:space="0" w:color="auto"/>
        <w:left w:val="none" w:sz="0" w:space="0" w:color="auto"/>
        <w:bottom w:val="none" w:sz="0" w:space="0" w:color="auto"/>
        <w:right w:val="none" w:sz="0" w:space="0" w:color="auto"/>
      </w:divBdr>
    </w:div>
    <w:div w:id="654332790">
      <w:bodyDiv w:val="1"/>
      <w:marLeft w:val="0"/>
      <w:marRight w:val="0"/>
      <w:marTop w:val="0"/>
      <w:marBottom w:val="0"/>
      <w:divBdr>
        <w:top w:val="none" w:sz="0" w:space="0" w:color="auto"/>
        <w:left w:val="none" w:sz="0" w:space="0" w:color="auto"/>
        <w:bottom w:val="none" w:sz="0" w:space="0" w:color="auto"/>
        <w:right w:val="none" w:sz="0" w:space="0" w:color="auto"/>
      </w:divBdr>
    </w:div>
    <w:div w:id="707416749">
      <w:bodyDiv w:val="1"/>
      <w:marLeft w:val="0"/>
      <w:marRight w:val="0"/>
      <w:marTop w:val="0"/>
      <w:marBottom w:val="0"/>
      <w:divBdr>
        <w:top w:val="none" w:sz="0" w:space="0" w:color="auto"/>
        <w:left w:val="none" w:sz="0" w:space="0" w:color="auto"/>
        <w:bottom w:val="none" w:sz="0" w:space="0" w:color="auto"/>
        <w:right w:val="none" w:sz="0" w:space="0" w:color="auto"/>
      </w:divBdr>
    </w:div>
    <w:div w:id="845362816">
      <w:bodyDiv w:val="1"/>
      <w:marLeft w:val="0"/>
      <w:marRight w:val="0"/>
      <w:marTop w:val="0"/>
      <w:marBottom w:val="0"/>
      <w:divBdr>
        <w:top w:val="none" w:sz="0" w:space="0" w:color="auto"/>
        <w:left w:val="none" w:sz="0" w:space="0" w:color="auto"/>
        <w:bottom w:val="none" w:sz="0" w:space="0" w:color="auto"/>
        <w:right w:val="none" w:sz="0" w:space="0" w:color="auto"/>
      </w:divBdr>
    </w:div>
    <w:div w:id="876048553">
      <w:bodyDiv w:val="1"/>
      <w:marLeft w:val="0"/>
      <w:marRight w:val="0"/>
      <w:marTop w:val="0"/>
      <w:marBottom w:val="0"/>
      <w:divBdr>
        <w:top w:val="none" w:sz="0" w:space="0" w:color="auto"/>
        <w:left w:val="none" w:sz="0" w:space="0" w:color="auto"/>
        <w:bottom w:val="none" w:sz="0" w:space="0" w:color="auto"/>
        <w:right w:val="none" w:sz="0" w:space="0" w:color="auto"/>
      </w:divBdr>
    </w:div>
    <w:div w:id="890649141">
      <w:bodyDiv w:val="1"/>
      <w:marLeft w:val="0"/>
      <w:marRight w:val="0"/>
      <w:marTop w:val="0"/>
      <w:marBottom w:val="0"/>
      <w:divBdr>
        <w:top w:val="none" w:sz="0" w:space="0" w:color="auto"/>
        <w:left w:val="none" w:sz="0" w:space="0" w:color="auto"/>
        <w:bottom w:val="none" w:sz="0" w:space="0" w:color="auto"/>
        <w:right w:val="none" w:sz="0" w:space="0" w:color="auto"/>
      </w:divBdr>
      <w:divsChild>
        <w:div w:id="1841652432">
          <w:marLeft w:val="0"/>
          <w:marRight w:val="0"/>
          <w:marTop w:val="0"/>
          <w:marBottom w:val="0"/>
          <w:divBdr>
            <w:top w:val="none" w:sz="0" w:space="0" w:color="auto"/>
            <w:left w:val="none" w:sz="0" w:space="0" w:color="auto"/>
            <w:bottom w:val="single" w:sz="6" w:space="0" w:color="E5E5E5"/>
            <w:right w:val="none" w:sz="0" w:space="0" w:color="auto"/>
          </w:divBdr>
          <w:divsChild>
            <w:div w:id="344478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230844">
      <w:bodyDiv w:val="1"/>
      <w:marLeft w:val="0"/>
      <w:marRight w:val="0"/>
      <w:marTop w:val="0"/>
      <w:marBottom w:val="0"/>
      <w:divBdr>
        <w:top w:val="none" w:sz="0" w:space="0" w:color="auto"/>
        <w:left w:val="none" w:sz="0" w:space="0" w:color="auto"/>
        <w:bottom w:val="none" w:sz="0" w:space="0" w:color="auto"/>
        <w:right w:val="none" w:sz="0" w:space="0" w:color="auto"/>
      </w:divBdr>
    </w:div>
    <w:div w:id="900797302">
      <w:bodyDiv w:val="1"/>
      <w:marLeft w:val="0"/>
      <w:marRight w:val="0"/>
      <w:marTop w:val="0"/>
      <w:marBottom w:val="0"/>
      <w:divBdr>
        <w:top w:val="none" w:sz="0" w:space="0" w:color="auto"/>
        <w:left w:val="none" w:sz="0" w:space="0" w:color="auto"/>
        <w:bottom w:val="none" w:sz="0" w:space="0" w:color="auto"/>
        <w:right w:val="none" w:sz="0" w:space="0" w:color="auto"/>
      </w:divBdr>
    </w:div>
    <w:div w:id="993994411">
      <w:bodyDiv w:val="1"/>
      <w:marLeft w:val="0"/>
      <w:marRight w:val="0"/>
      <w:marTop w:val="0"/>
      <w:marBottom w:val="0"/>
      <w:divBdr>
        <w:top w:val="none" w:sz="0" w:space="0" w:color="auto"/>
        <w:left w:val="none" w:sz="0" w:space="0" w:color="auto"/>
        <w:bottom w:val="none" w:sz="0" w:space="0" w:color="auto"/>
        <w:right w:val="none" w:sz="0" w:space="0" w:color="auto"/>
      </w:divBdr>
    </w:div>
    <w:div w:id="1009647727">
      <w:bodyDiv w:val="1"/>
      <w:marLeft w:val="0"/>
      <w:marRight w:val="0"/>
      <w:marTop w:val="0"/>
      <w:marBottom w:val="0"/>
      <w:divBdr>
        <w:top w:val="none" w:sz="0" w:space="0" w:color="auto"/>
        <w:left w:val="none" w:sz="0" w:space="0" w:color="auto"/>
        <w:bottom w:val="none" w:sz="0" w:space="0" w:color="auto"/>
        <w:right w:val="none" w:sz="0" w:space="0" w:color="auto"/>
      </w:divBdr>
    </w:div>
    <w:div w:id="1012728456">
      <w:bodyDiv w:val="1"/>
      <w:marLeft w:val="0"/>
      <w:marRight w:val="0"/>
      <w:marTop w:val="0"/>
      <w:marBottom w:val="0"/>
      <w:divBdr>
        <w:top w:val="none" w:sz="0" w:space="0" w:color="auto"/>
        <w:left w:val="none" w:sz="0" w:space="0" w:color="auto"/>
        <w:bottom w:val="none" w:sz="0" w:space="0" w:color="auto"/>
        <w:right w:val="none" w:sz="0" w:space="0" w:color="auto"/>
      </w:divBdr>
    </w:div>
    <w:div w:id="1052659987">
      <w:bodyDiv w:val="1"/>
      <w:marLeft w:val="0"/>
      <w:marRight w:val="0"/>
      <w:marTop w:val="0"/>
      <w:marBottom w:val="0"/>
      <w:divBdr>
        <w:top w:val="none" w:sz="0" w:space="0" w:color="auto"/>
        <w:left w:val="none" w:sz="0" w:space="0" w:color="auto"/>
        <w:bottom w:val="none" w:sz="0" w:space="0" w:color="auto"/>
        <w:right w:val="none" w:sz="0" w:space="0" w:color="auto"/>
      </w:divBdr>
    </w:div>
    <w:div w:id="1105199154">
      <w:bodyDiv w:val="1"/>
      <w:marLeft w:val="0"/>
      <w:marRight w:val="0"/>
      <w:marTop w:val="0"/>
      <w:marBottom w:val="0"/>
      <w:divBdr>
        <w:top w:val="none" w:sz="0" w:space="0" w:color="auto"/>
        <w:left w:val="none" w:sz="0" w:space="0" w:color="auto"/>
        <w:bottom w:val="none" w:sz="0" w:space="0" w:color="auto"/>
        <w:right w:val="none" w:sz="0" w:space="0" w:color="auto"/>
      </w:divBdr>
      <w:divsChild>
        <w:div w:id="75396880">
          <w:marLeft w:val="0"/>
          <w:marRight w:val="0"/>
          <w:marTop w:val="0"/>
          <w:marBottom w:val="0"/>
          <w:divBdr>
            <w:top w:val="none" w:sz="0" w:space="0" w:color="auto"/>
            <w:left w:val="none" w:sz="0" w:space="0" w:color="auto"/>
            <w:bottom w:val="none" w:sz="0" w:space="0" w:color="auto"/>
            <w:right w:val="none" w:sz="0" w:space="0" w:color="auto"/>
          </w:divBdr>
        </w:div>
      </w:divsChild>
    </w:div>
    <w:div w:id="1181043351">
      <w:bodyDiv w:val="1"/>
      <w:marLeft w:val="0"/>
      <w:marRight w:val="0"/>
      <w:marTop w:val="0"/>
      <w:marBottom w:val="0"/>
      <w:divBdr>
        <w:top w:val="none" w:sz="0" w:space="0" w:color="auto"/>
        <w:left w:val="none" w:sz="0" w:space="0" w:color="auto"/>
        <w:bottom w:val="none" w:sz="0" w:space="0" w:color="auto"/>
        <w:right w:val="none" w:sz="0" w:space="0" w:color="auto"/>
      </w:divBdr>
    </w:div>
    <w:div w:id="1212691954">
      <w:bodyDiv w:val="1"/>
      <w:marLeft w:val="0"/>
      <w:marRight w:val="0"/>
      <w:marTop w:val="0"/>
      <w:marBottom w:val="0"/>
      <w:divBdr>
        <w:top w:val="none" w:sz="0" w:space="0" w:color="auto"/>
        <w:left w:val="none" w:sz="0" w:space="0" w:color="auto"/>
        <w:bottom w:val="none" w:sz="0" w:space="0" w:color="auto"/>
        <w:right w:val="none" w:sz="0" w:space="0" w:color="auto"/>
      </w:divBdr>
    </w:div>
    <w:div w:id="1285193583">
      <w:bodyDiv w:val="1"/>
      <w:marLeft w:val="0"/>
      <w:marRight w:val="0"/>
      <w:marTop w:val="0"/>
      <w:marBottom w:val="0"/>
      <w:divBdr>
        <w:top w:val="none" w:sz="0" w:space="0" w:color="auto"/>
        <w:left w:val="none" w:sz="0" w:space="0" w:color="auto"/>
        <w:bottom w:val="none" w:sz="0" w:space="0" w:color="auto"/>
        <w:right w:val="none" w:sz="0" w:space="0" w:color="auto"/>
      </w:divBdr>
    </w:div>
    <w:div w:id="1289971468">
      <w:bodyDiv w:val="1"/>
      <w:marLeft w:val="0"/>
      <w:marRight w:val="0"/>
      <w:marTop w:val="0"/>
      <w:marBottom w:val="0"/>
      <w:divBdr>
        <w:top w:val="none" w:sz="0" w:space="0" w:color="auto"/>
        <w:left w:val="none" w:sz="0" w:space="0" w:color="auto"/>
        <w:bottom w:val="none" w:sz="0" w:space="0" w:color="auto"/>
        <w:right w:val="none" w:sz="0" w:space="0" w:color="auto"/>
      </w:divBdr>
    </w:div>
    <w:div w:id="1293487915">
      <w:bodyDiv w:val="1"/>
      <w:marLeft w:val="0"/>
      <w:marRight w:val="0"/>
      <w:marTop w:val="0"/>
      <w:marBottom w:val="0"/>
      <w:divBdr>
        <w:top w:val="none" w:sz="0" w:space="0" w:color="auto"/>
        <w:left w:val="none" w:sz="0" w:space="0" w:color="auto"/>
        <w:bottom w:val="none" w:sz="0" w:space="0" w:color="auto"/>
        <w:right w:val="none" w:sz="0" w:space="0" w:color="auto"/>
      </w:divBdr>
    </w:div>
    <w:div w:id="1295595101">
      <w:bodyDiv w:val="1"/>
      <w:marLeft w:val="0"/>
      <w:marRight w:val="0"/>
      <w:marTop w:val="0"/>
      <w:marBottom w:val="0"/>
      <w:divBdr>
        <w:top w:val="none" w:sz="0" w:space="0" w:color="auto"/>
        <w:left w:val="none" w:sz="0" w:space="0" w:color="auto"/>
        <w:bottom w:val="none" w:sz="0" w:space="0" w:color="auto"/>
        <w:right w:val="none" w:sz="0" w:space="0" w:color="auto"/>
      </w:divBdr>
    </w:div>
    <w:div w:id="1302034221">
      <w:bodyDiv w:val="1"/>
      <w:marLeft w:val="0"/>
      <w:marRight w:val="0"/>
      <w:marTop w:val="0"/>
      <w:marBottom w:val="0"/>
      <w:divBdr>
        <w:top w:val="none" w:sz="0" w:space="0" w:color="auto"/>
        <w:left w:val="none" w:sz="0" w:space="0" w:color="auto"/>
        <w:bottom w:val="none" w:sz="0" w:space="0" w:color="auto"/>
        <w:right w:val="none" w:sz="0" w:space="0" w:color="auto"/>
      </w:divBdr>
    </w:div>
    <w:div w:id="1335259088">
      <w:bodyDiv w:val="1"/>
      <w:marLeft w:val="0"/>
      <w:marRight w:val="0"/>
      <w:marTop w:val="0"/>
      <w:marBottom w:val="0"/>
      <w:divBdr>
        <w:top w:val="none" w:sz="0" w:space="0" w:color="auto"/>
        <w:left w:val="none" w:sz="0" w:space="0" w:color="auto"/>
        <w:bottom w:val="none" w:sz="0" w:space="0" w:color="auto"/>
        <w:right w:val="none" w:sz="0" w:space="0" w:color="auto"/>
      </w:divBdr>
    </w:div>
    <w:div w:id="1366560772">
      <w:bodyDiv w:val="1"/>
      <w:marLeft w:val="0"/>
      <w:marRight w:val="0"/>
      <w:marTop w:val="0"/>
      <w:marBottom w:val="0"/>
      <w:divBdr>
        <w:top w:val="none" w:sz="0" w:space="0" w:color="auto"/>
        <w:left w:val="none" w:sz="0" w:space="0" w:color="auto"/>
        <w:bottom w:val="none" w:sz="0" w:space="0" w:color="auto"/>
        <w:right w:val="none" w:sz="0" w:space="0" w:color="auto"/>
      </w:divBdr>
      <w:divsChild>
        <w:div w:id="218784636">
          <w:marLeft w:val="0"/>
          <w:marRight w:val="0"/>
          <w:marTop w:val="0"/>
          <w:marBottom w:val="0"/>
          <w:divBdr>
            <w:top w:val="none" w:sz="0" w:space="0" w:color="auto"/>
            <w:left w:val="none" w:sz="0" w:space="0" w:color="auto"/>
            <w:bottom w:val="none" w:sz="0" w:space="0" w:color="auto"/>
            <w:right w:val="none" w:sz="0" w:space="0" w:color="auto"/>
          </w:divBdr>
        </w:div>
        <w:div w:id="679891353">
          <w:marLeft w:val="0"/>
          <w:marRight w:val="0"/>
          <w:marTop w:val="0"/>
          <w:marBottom w:val="0"/>
          <w:divBdr>
            <w:top w:val="none" w:sz="0" w:space="0" w:color="auto"/>
            <w:left w:val="none" w:sz="0" w:space="0" w:color="auto"/>
            <w:bottom w:val="none" w:sz="0" w:space="0" w:color="auto"/>
            <w:right w:val="none" w:sz="0" w:space="0" w:color="auto"/>
          </w:divBdr>
        </w:div>
        <w:div w:id="748576298">
          <w:marLeft w:val="0"/>
          <w:marRight w:val="0"/>
          <w:marTop w:val="0"/>
          <w:marBottom w:val="0"/>
          <w:divBdr>
            <w:top w:val="none" w:sz="0" w:space="0" w:color="auto"/>
            <w:left w:val="none" w:sz="0" w:space="0" w:color="auto"/>
            <w:bottom w:val="none" w:sz="0" w:space="0" w:color="auto"/>
            <w:right w:val="none" w:sz="0" w:space="0" w:color="auto"/>
          </w:divBdr>
        </w:div>
        <w:div w:id="1131167381">
          <w:marLeft w:val="0"/>
          <w:marRight w:val="0"/>
          <w:marTop w:val="0"/>
          <w:marBottom w:val="0"/>
          <w:divBdr>
            <w:top w:val="none" w:sz="0" w:space="0" w:color="auto"/>
            <w:left w:val="none" w:sz="0" w:space="0" w:color="auto"/>
            <w:bottom w:val="none" w:sz="0" w:space="0" w:color="auto"/>
            <w:right w:val="none" w:sz="0" w:space="0" w:color="auto"/>
          </w:divBdr>
        </w:div>
        <w:div w:id="1325159160">
          <w:marLeft w:val="0"/>
          <w:marRight w:val="0"/>
          <w:marTop w:val="0"/>
          <w:marBottom w:val="0"/>
          <w:divBdr>
            <w:top w:val="none" w:sz="0" w:space="0" w:color="auto"/>
            <w:left w:val="none" w:sz="0" w:space="0" w:color="auto"/>
            <w:bottom w:val="none" w:sz="0" w:space="0" w:color="auto"/>
            <w:right w:val="none" w:sz="0" w:space="0" w:color="auto"/>
          </w:divBdr>
        </w:div>
        <w:div w:id="1604268927">
          <w:marLeft w:val="0"/>
          <w:marRight w:val="0"/>
          <w:marTop w:val="0"/>
          <w:marBottom w:val="0"/>
          <w:divBdr>
            <w:top w:val="none" w:sz="0" w:space="0" w:color="auto"/>
            <w:left w:val="none" w:sz="0" w:space="0" w:color="auto"/>
            <w:bottom w:val="none" w:sz="0" w:space="0" w:color="auto"/>
            <w:right w:val="none" w:sz="0" w:space="0" w:color="auto"/>
          </w:divBdr>
        </w:div>
        <w:div w:id="1649750497">
          <w:marLeft w:val="0"/>
          <w:marRight w:val="0"/>
          <w:marTop w:val="0"/>
          <w:marBottom w:val="0"/>
          <w:divBdr>
            <w:top w:val="none" w:sz="0" w:space="0" w:color="auto"/>
            <w:left w:val="none" w:sz="0" w:space="0" w:color="auto"/>
            <w:bottom w:val="none" w:sz="0" w:space="0" w:color="auto"/>
            <w:right w:val="none" w:sz="0" w:space="0" w:color="auto"/>
          </w:divBdr>
        </w:div>
        <w:div w:id="1930891734">
          <w:marLeft w:val="0"/>
          <w:marRight w:val="0"/>
          <w:marTop w:val="0"/>
          <w:marBottom w:val="0"/>
          <w:divBdr>
            <w:top w:val="none" w:sz="0" w:space="0" w:color="auto"/>
            <w:left w:val="none" w:sz="0" w:space="0" w:color="auto"/>
            <w:bottom w:val="none" w:sz="0" w:space="0" w:color="auto"/>
            <w:right w:val="none" w:sz="0" w:space="0" w:color="auto"/>
          </w:divBdr>
        </w:div>
      </w:divsChild>
    </w:div>
    <w:div w:id="1387297373">
      <w:bodyDiv w:val="1"/>
      <w:marLeft w:val="0"/>
      <w:marRight w:val="0"/>
      <w:marTop w:val="0"/>
      <w:marBottom w:val="0"/>
      <w:divBdr>
        <w:top w:val="none" w:sz="0" w:space="0" w:color="auto"/>
        <w:left w:val="none" w:sz="0" w:space="0" w:color="auto"/>
        <w:bottom w:val="none" w:sz="0" w:space="0" w:color="auto"/>
        <w:right w:val="none" w:sz="0" w:space="0" w:color="auto"/>
      </w:divBdr>
    </w:div>
    <w:div w:id="1408721640">
      <w:bodyDiv w:val="1"/>
      <w:marLeft w:val="0"/>
      <w:marRight w:val="0"/>
      <w:marTop w:val="0"/>
      <w:marBottom w:val="0"/>
      <w:divBdr>
        <w:top w:val="none" w:sz="0" w:space="0" w:color="auto"/>
        <w:left w:val="none" w:sz="0" w:space="0" w:color="auto"/>
        <w:bottom w:val="none" w:sz="0" w:space="0" w:color="auto"/>
        <w:right w:val="none" w:sz="0" w:space="0" w:color="auto"/>
      </w:divBdr>
    </w:div>
    <w:div w:id="1419714318">
      <w:bodyDiv w:val="1"/>
      <w:marLeft w:val="0"/>
      <w:marRight w:val="0"/>
      <w:marTop w:val="0"/>
      <w:marBottom w:val="0"/>
      <w:divBdr>
        <w:top w:val="none" w:sz="0" w:space="0" w:color="auto"/>
        <w:left w:val="none" w:sz="0" w:space="0" w:color="auto"/>
        <w:bottom w:val="none" w:sz="0" w:space="0" w:color="auto"/>
        <w:right w:val="none" w:sz="0" w:space="0" w:color="auto"/>
      </w:divBdr>
    </w:div>
    <w:div w:id="1466005543">
      <w:bodyDiv w:val="1"/>
      <w:marLeft w:val="0"/>
      <w:marRight w:val="0"/>
      <w:marTop w:val="0"/>
      <w:marBottom w:val="0"/>
      <w:divBdr>
        <w:top w:val="none" w:sz="0" w:space="0" w:color="auto"/>
        <w:left w:val="none" w:sz="0" w:space="0" w:color="auto"/>
        <w:bottom w:val="none" w:sz="0" w:space="0" w:color="auto"/>
        <w:right w:val="none" w:sz="0" w:space="0" w:color="auto"/>
      </w:divBdr>
    </w:div>
    <w:div w:id="1473281308">
      <w:bodyDiv w:val="1"/>
      <w:marLeft w:val="0"/>
      <w:marRight w:val="0"/>
      <w:marTop w:val="0"/>
      <w:marBottom w:val="0"/>
      <w:divBdr>
        <w:top w:val="none" w:sz="0" w:space="0" w:color="auto"/>
        <w:left w:val="none" w:sz="0" w:space="0" w:color="auto"/>
        <w:bottom w:val="none" w:sz="0" w:space="0" w:color="auto"/>
        <w:right w:val="none" w:sz="0" w:space="0" w:color="auto"/>
      </w:divBdr>
    </w:div>
    <w:div w:id="1476071315">
      <w:bodyDiv w:val="1"/>
      <w:marLeft w:val="0"/>
      <w:marRight w:val="0"/>
      <w:marTop w:val="0"/>
      <w:marBottom w:val="0"/>
      <w:divBdr>
        <w:top w:val="none" w:sz="0" w:space="0" w:color="auto"/>
        <w:left w:val="none" w:sz="0" w:space="0" w:color="auto"/>
        <w:bottom w:val="none" w:sz="0" w:space="0" w:color="auto"/>
        <w:right w:val="none" w:sz="0" w:space="0" w:color="auto"/>
      </w:divBdr>
    </w:div>
    <w:div w:id="1541937771">
      <w:bodyDiv w:val="1"/>
      <w:marLeft w:val="0"/>
      <w:marRight w:val="0"/>
      <w:marTop w:val="0"/>
      <w:marBottom w:val="0"/>
      <w:divBdr>
        <w:top w:val="none" w:sz="0" w:space="0" w:color="auto"/>
        <w:left w:val="none" w:sz="0" w:space="0" w:color="auto"/>
        <w:bottom w:val="none" w:sz="0" w:space="0" w:color="auto"/>
        <w:right w:val="none" w:sz="0" w:space="0" w:color="auto"/>
      </w:divBdr>
    </w:div>
    <w:div w:id="1549877638">
      <w:bodyDiv w:val="1"/>
      <w:marLeft w:val="0"/>
      <w:marRight w:val="0"/>
      <w:marTop w:val="0"/>
      <w:marBottom w:val="0"/>
      <w:divBdr>
        <w:top w:val="none" w:sz="0" w:space="0" w:color="auto"/>
        <w:left w:val="none" w:sz="0" w:space="0" w:color="auto"/>
        <w:bottom w:val="none" w:sz="0" w:space="0" w:color="auto"/>
        <w:right w:val="none" w:sz="0" w:space="0" w:color="auto"/>
      </w:divBdr>
    </w:div>
    <w:div w:id="1550189097">
      <w:bodyDiv w:val="1"/>
      <w:marLeft w:val="0"/>
      <w:marRight w:val="0"/>
      <w:marTop w:val="0"/>
      <w:marBottom w:val="0"/>
      <w:divBdr>
        <w:top w:val="none" w:sz="0" w:space="0" w:color="auto"/>
        <w:left w:val="none" w:sz="0" w:space="0" w:color="auto"/>
        <w:bottom w:val="none" w:sz="0" w:space="0" w:color="auto"/>
        <w:right w:val="none" w:sz="0" w:space="0" w:color="auto"/>
      </w:divBdr>
    </w:div>
    <w:div w:id="1570577657">
      <w:bodyDiv w:val="1"/>
      <w:marLeft w:val="0"/>
      <w:marRight w:val="0"/>
      <w:marTop w:val="0"/>
      <w:marBottom w:val="0"/>
      <w:divBdr>
        <w:top w:val="none" w:sz="0" w:space="0" w:color="auto"/>
        <w:left w:val="none" w:sz="0" w:space="0" w:color="auto"/>
        <w:bottom w:val="none" w:sz="0" w:space="0" w:color="auto"/>
        <w:right w:val="none" w:sz="0" w:space="0" w:color="auto"/>
      </w:divBdr>
    </w:div>
    <w:div w:id="1598058327">
      <w:bodyDiv w:val="1"/>
      <w:marLeft w:val="0"/>
      <w:marRight w:val="0"/>
      <w:marTop w:val="0"/>
      <w:marBottom w:val="0"/>
      <w:divBdr>
        <w:top w:val="none" w:sz="0" w:space="0" w:color="auto"/>
        <w:left w:val="none" w:sz="0" w:space="0" w:color="auto"/>
        <w:bottom w:val="none" w:sz="0" w:space="0" w:color="auto"/>
        <w:right w:val="none" w:sz="0" w:space="0" w:color="auto"/>
      </w:divBdr>
    </w:div>
    <w:div w:id="1609972016">
      <w:bodyDiv w:val="1"/>
      <w:marLeft w:val="0"/>
      <w:marRight w:val="0"/>
      <w:marTop w:val="0"/>
      <w:marBottom w:val="0"/>
      <w:divBdr>
        <w:top w:val="none" w:sz="0" w:space="0" w:color="auto"/>
        <w:left w:val="none" w:sz="0" w:space="0" w:color="auto"/>
        <w:bottom w:val="none" w:sz="0" w:space="0" w:color="auto"/>
        <w:right w:val="none" w:sz="0" w:space="0" w:color="auto"/>
      </w:divBdr>
    </w:div>
    <w:div w:id="1625382386">
      <w:bodyDiv w:val="1"/>
      <w:marLeft w:val="0"/>
      <w:marRight w:val="0"/>
      <w:marTop w:val="0"/>
      <w:marBottom w:val="0"/>
      <w:divBdr>
        <w:top w:val="none" w:sz="0" w:space="0" w:color="auto"/>
        <w:left w:val="none" w:sz="0" w:space="0" w:color="auto"/>
        <w:bottom w:val="none" w:sz="0" w:space="0" w:color="auto"/>
        <w:right w:val="none" w:sz="0" w:space="0" w:color="auto"/>
      </w:divBdr>
    </w:div>
    <w:div w:id="1721858840">
      <w:bodyDiv w:val="1"/>
      <w:marLeft w:val="0"/>
      <w:marRight w:val="0"/>
      <w:marTop w:val="0"/>
      <w:marBottom w:val="0"/>
      <w:divBdr>
        <w:top w:val="none" w:sz="0" w:space="0" w:color="auto"/>
        <w:left w:val="none" w:sz="0" w:space="0" w:color="auto"/>
        <w:bottom w:val="none" w:sz="0" w:space="0" w:color="auto"/>
        <w:right w:val="none" w:sz="0" w:space="0" w:color="auto"/>
      </w:divBdr>
    </w:div>
    <w:div w:id="1743409132">
      <w:bodyDiv w:val="1"/>
      <w:marLeft w:val="0"/>
      <w:marRight w:val="0"/>
      <w:marTop w:val="0"/>
      <w:marBottom w:val="0"/>
      <w:divBdr>
        <w:top w:val="none" w:sz="0" w:space="0" w:color="auto"/>
        <w:left w:val="none" w:sz="0" w:space="0" w:color="auto"/>
        <w:bottom w:val="none" w:sz="0" w:space="0" w:color="auto"/>
        <w:right w:val="none" w:sz="0" w:space="0" w:color="auto"/>
      </w:divBdr>
    </w:div>
    <w:div w:id="1791431418">
      <w:bodyDiv w:val="1"/>
      <w:marLeft w:val="0"/>
      <w:marRight w:val="0"/>
      <w:marTop w:val="0"/>
      <w:marBottom w:val="0"/>
      <w:divBdr>
        <w:top w:val="none" w:sz="0" w:space="0" w:color="auto"/>
        <w:left w:val="none" w:sz="0" w:space="0" w:color="auto"/>
        <w:bottom w:val="none" w:sz="0" w:space="0" w:color="auto"/>
        <w:right w:val="none" w:sz="0" w:space="0" w:color="auto"/>
      </w:divBdr>
    </w:div>
    <w:div w:id="1793204215">
      <w:bodyDiv w:val="1"/>
      <w:marLeft w:val="0"/>
      <w:marRight w:val="0"/>
      <w:marTop w:val="0"/>
      <w:marBottom w:val="0"/>
      <w:divBdr>
        <w:top w:val="none" w:sz="0" w:space="0" w:color="auto"/>
        <w:left w:val="none" w:sz="0" w:space="0" w:color="auto"/>
        <w:bottom w:val="none" w:sz="0" w:space="0" w:color="auto"/>
        <w:right w:val="none" w:sz="0" w:space="0" w:color="auto"/>
      </w:divBdr>
    </w:div>
    <w:div w:id="1795322066">
      <w:bodyDiv w:val="1"/>
      <w:marLeft w:val="0"/>
      <w:marRight w:val="0"/>
      <w:marTop w:val="0"/>
      <w:marBottom w:val="0"/>
      <w:divBdr>
        <w:top w:val="none" w:sz="0" w:space="0" w:color="auto"/>
        <w:left w:val="none" w:sz="0" w:space="0" w:color="auto"/>
        <w:bottom w:val="none" w:sz="0" w:space="0" w:color="auto"/>
        <w:right w:val="none" w:sz="0" w:space="0" w:color="auto"/>
      </w:divBdr>
    </w:div>
    <w:div w:id="1799183888">
      <w:bodyDiv w:val="1"/>
      <w:marLeft w:val="0"/>
      <w:marRight w:val="0"/>
      <w:marTop w:val="0"/>
      <w:marBottom w:val="0"/>
      <w:divBdr>
        <w:top w:val="none" w:sz="0" w:space="0" w:color="auto"/>
        <w:left w:val="none" w:sz="0" w:space="0" w:color="auto"/>
        <w:bottom w:val="none" w:sz="0" w:space="0" w:color="auto"/>
        <w:right w:val="none" w:sz="0" w:space="0" w:color="auto"/>
      </w:divBdr>
    </w:div>
    <w:div w:id="1819032350">
      <w:bodyDiv w:val="1"/>
      <w:marLeft w:val="0"/>
      <w:marRight w:val="0"/>
      <w:marTop w:val="0"/>
      <w:marBottom w:val="0"/>
      <w:divBdr>
        <w:top w:val="none" w:sz="0" w:space="0" w:color="auto"/>
        <w:left w:val="none" w:sz="0" w:space="0" w:color="auto"/>
        <w:bottom w:val="none" w:sz="0" w:space="0" w:color="auto"/>
        <w:right w:val="none" w:sz="0" w:space="0" w:color="auto"/>
      </w:divBdr>
    </w:div>
    <w:div w:id="1845632198">
      <w:bodyDiv w:val="1"/>
      <w:marLeft w:val="0"/>
      <w:marRight w:val="0"/>
      <w:marTop w:val="0"/>
      <w:marBottom w:val="0"/>
      <w:divBdr>
        <w:top w:val="none" w:sz="0" w:space="0" w:color="auto"/>
        <w:left w:val="none" w:sz="0" w:space="0" w:color="auto"/>
        <w:bottom w:val="none" w:sz="0" w:space="0" w:color="auto"/>
        <w:right w:val="none" w:sz="0" w:space="0" w:color="auto"/>
      </w:divBdr>
    </w:div>
    <w:div w:id="1871986727">
      <w:bodyDiv w:val="1"/>
      <w:marLeft w:val="0"/>
      <w:marRight w:val="0"/>
      <w:marTop w:val="0"/>
      <w:marBottom w:val="0"/>
      <w:divBdr>
        <w:top w:val="none" w:sz="0" w:space="0" w:color="auto"/>
        <w:left w:val="none" w:sz="0" w:space="0" w:color="auto"/>
        <w:bottom w:val="none" w:sz="0" w:space="0" w:color="auto"/>
        <w:right w:val="none" w:sz="0" w:space="0" w:color="auto"/>
      </w:divBdr>
    </w:div>
    <w:div w:id="1973365559">
      <w:bodyDiv w:val="1"/>
      <w:marLeft w:val="0"/>
      <w:marRight w:val="0"/>
      <w:marTop w:val="0"/>
      <w:marBottom w:val="0"/>
      <w:divBdr>
        <w:top w:val="none" w:sz="0" w:space="0" w:color="auto"/>
        <w:left w:val="none" w:sz="0" w:space="0" w:color="auto"/>
        <w:bottom w:val="none" w:sz="0" w:space="0" w:color="auto"/>
        <w:right w:val="none" w:sz="0" w:space="0" w:color="auto"/>
      </w:divBdr>
    </w:div>
    <w:div w:id="1990328347">
      <w:bodyDiv w:val="1"/>
      <w:marLeft w:val="0"/>
      <w:marRight w:val="0"/>
      <w:marTop w:val="0"/>
      <w:marBottom w:val="0"/>
      <w:divBdr>
        <w:top w:val="none" w:sz="0" w:space="0" w:color="auto"/>
        <w:left w:val="none" w:sz="0" w:space="0" w:color="auto"/>
        <w:bottom w:val="none" w:sz="0" w:space="0" w:color="auto"/>
        <w:right w:val="none" w:sz="0" w:space="0" w:color="auto"/>
      </w:divBdr>
    </w:div>
    <w:div w:id="2004309221">
      <w:bodyDiv w:val="1"/>
      <w:marLeft w:val="0"/>
      <w:marRight w:val="0"/>
      <w:marTop w:val="0"/>
      <w:marBottom w:val="0"/>
      <w:divBdr>
        <w:top w:val="none" w:sz="0" w:space="0" w:color="auto"/>
        <w:left w:val="none" w:sz="0" w:space="0" w:color="auto"/>
        <w:bottom w:val="none" w:sz="0" w:space="0" w:color="auto"/>
        <w:right w:val="none" w:sz="0" w:space="0" w:color="auto"/>
      </w:divBdr>
    </w:div>
    <w:div w:id="2015298968">
      <w:bodyDiv w:val="1"/>
      <w:marLeft w:val="0"/>
      <w:marRight w:val="0"/>
      <w:marTop w:val="0"/>
      <w:marBottom w:val="0"/>
      <w:divBdr>
        <w:top w:val="none" w:sz="0" w:space="0" w:color="auto"/>
        <w:left w:val="none" w:sz="0" w:space="0" w:color="auto"/>
        <w:bottom w:val="none" w:sz="0" w:space="0" w:color="auto"/>
        <w:right w:val="none" w:sz="0" w:space="0" w:color="auto"/>
      </w:divBdr>
    </w:div>
    <w:div w:id="2015641347">
      <w:bodyDiv w:val="1"/>
      <w:marLeft w:val="0"/>
      <w:marRight w:val="0"/>
      <w:marTop w:val="0"/>
      <w:marBottom w:val="0"/>
      <w:divBdr>
        <w:top w:val="none" w:sz="0" w:space="0" w:color="auto"/>
        <w:left w:val="none" w:sz="0" w:space="0" w:color="auto"/>
        <w:bottom w:val="none" w:sz="0" w:space="0" w:color="auto"/>
        <w:right w:val="none" w:sz="0" w:space="0" w:color="auto"/>
      </w:divBdr>
    </w:div>
    <w:div w:id="2052414889">
      <w:bodyDiv w:val="1"/>
      <w:marLeft w:val="0"/>
      <w:marRight w:val="0"/>
      <w:marTop w:val="0"/>
      <w:marBottom w:val="0"/>
      <w:divBdr>
        <w:top w:val="none" w:sz="0" w:space="0" w:color="auto"/>
        <w:left w:val="none" w:sz="0" w:space="0" w:color="auto"/>
        <w:bottom w:val="none" w:sz="0" w:space="0" w:color="auto"/>
        <w:right w:val="none" w:sz="0" w:space="0" w:color="auto"/>
      </w:divBdr>
    </w:div>
    <w:div w:id="2060321830">
      <w:bodyDiv w:val="1"/>
      <w:marLeft w:val="0"/>
      <w:marRight w:val="0"/>
      <w:marTop w:val="0"/>
      <w:marBottom w:val="0"/>
      <w:divBdr>
        <w:top w:val="none" w:sz="0" w:space="0" w:color="auto"/>
        <w:left w:val="none" w:sz="0" w:space="0" w:color="auto"/>
        <w:bottom w:val="none" w:sz="0" w:space="0" w:color="auto"/>
        <w:right w:val="none" w:sz="0" w:space="0" w:color="auto"/>
      </w:divBdr>
    </w:div>
    <w:div w:id="2078942498">
      <w:bodyDiv w:val="1"/>
      <w:marLeft w:val="0"/>
      <w:marRight w:val="0"/>
      <w:marTop w:val="0"/>
      <w:marBottom w:val="0"/>
      <w:divBdr>
        <w:top w:val="none" w:sz="0" w:space="0" w:color="auto"/>
        <w:left w:val="none" w:sz="0" w:space="0" w:color="auto"/>
        <w:bottom w:val="none" w:sz="0" w:space="0" w:color="auto"/>
        <w:right w:val="none" w:sz="0" w:space="0" w:color="auto"/>
      </w:divBdr>
    </w:div>
    <w:div w:id="2111969288">
      <w:bodyDiv w:val="1"/>
      <w:marLeft w:val="0"/>
      <w:marRight w:val="0"/>
      <w:marTop w:val="0"/>
      <w:marBottom w:val="0"/>
      <w:divBdr>
        <w:top w:val="none" w:sz="0" w:space="0" w:color="auto"/>
        <w:left w:val="none" w:sz="0" w:space="0" w:color="auto"/>
        <w:bottom w:val="none" w:sz="0" w:space="0" w:color="auto"/>
        <w:right w:val="none" w:sz="0" w:space="0" w:color="auto"/>
      </w:divBdr>
    </w:div>
    <w:div w:id="2125732991">
      <w:bodyDiv w:val="1"/>
      <w:marLeft w:val="0"/>
      <w:marRight w:val="0"/>
      <w:marTop w:val="0"/>
      <w:marBottom w:val="0"/>
      <w:divBdr>
        <w:top w:val="none" w:sz="0" w:space="0" w:color="auto"/>
        <w:left w:val="none" w:sz="0" w:space="0" w:color="auto"/>
        <w:bottom w:val="none" w:sz="0" w:space="0" w:color="auto"/>
        <w:right w:val="none" w:sz="0" w:space="0" w:color="auto"/>
      </w:divBdr>
    </w:div>
    <w:div w:id="2131514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rea.gov.it/piano-triennale-per-la-prevenzione-della-corruzione-e-della-trasparenza" TargetMode="External"/><Relationship Id="rId13" Type="http://schemas.openxmlformats.org/officeDocument/2006/relationships/hyperlink" Target="https://www.crea.gov.it/en/note/circolari-uffici" TargetMode="External"/><Relationship Id="rId18" Type="http://schemas.openxmlformats.org/officeDocument/2006/relationships/hyperlink" Target="https://www.crea.gov.it/piano-triennale-per-la-prevenzione-della-corruzione-e-della-trasparenza"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crea.gov.it/tipologie-di-procedimento" TargetMode="External"/><Relationship Id="rId7" Type="http://schemas.openxmlformats.org/officeDocument/2006/relationships/endnotes" Target="endnotes.xml"/><Relationship Id="rId12" Type="http://schemas.openxmlformats.org/officeDocument/2006/relationships/hyperlink" Target="https://www.crea.gov.it/en/circolari-in-materia-di-anticorruzione-e-trasparenza" TargetMode="External"/><Relationship Id="rId17" Type="http://schemas.openxmlformats.org/officeDocument/2006/relationships/hyperlink" Target="https://www.crea.gov.it/piano-triennale-per-la-prevenzione-della-corruzione-e-della-trasparenza"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rgs.mef.gov.it/VERSIONE-I/circolari/2024/circolare_n_13_2024/" TargetMode="External"/><Relationship Id="rId20" Type="http://schemas.openxmlformats.org/officeDocument/2006/relationships/hyperlink" Target="https://www.crea.gov.it/whistleblowing"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rea.gov.it/piano-triennale-per-la-prevenzione-della-corruzione-e-della-trasparenza" TargetMode="External"/><Relationship Id="rId24" Type="http://schemas.openxmlformats.org/officeDocument/2006/relationships/hyperlink" Target="https://www.crea.gov.it/registro-degli-accessi"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rgs.mef.gov.it/VERSIONE-I/circolari/2023/circolare_n_27_2023/" TargetMode="External"/><Relationship Id="rId23" Type="http://schemas.openxmlformats.org/officeDocument/2006/relationships/hyperlink" Target="https://www.crea.gov.it/documents/20126/4159370/all+delib.38+regol.accesso.pdf/ca0eb367-30be-f5e8-acff-ce3044dd7a4e?t=1680516071730" TargetMode="External"/><Relationship Id="rId28" Type="http://schemas.openxmlformats.org/officeDocument/2006/relationships/footer" Target="footer2.xml"/><Relationship Id="rId10" Type="http://schemas.openxmlformats.org/officeDocument/2006/relationships/hyperlink" Target="https://www.crea.gov.it/piano-triennale-per-la-prevenzione-della-corruzione-e-della-trasparenza" TargetMode="External"/><Relationship Id="rId19" Type="http://schemas.openxmlformats.org/officeDocument/2006/relationships/hyperlink" Target="https://www.crea.gov.it/en/circolari-in-materia-di-anticorruzione-e-trasparenza"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rea.gov.it/piano-triennale-per-la-prevenzione-della-corruzione-e-della-trasparenza" TargetMode="External"/><Relationship Id="rId14" Type="http://schemas.openxmlformats.org/officeDocument/2006/relationships/hyperlink" Target="https://www.rgs.mef.gov.it/VERSIONE-I/circolari/2022/circolare_n_30_2022/" TargetMode="External"/><Relationship Id="rId22" Type="http://schemas.openxmlformats.org/officeDocument/2006/relationships/hyperlink" Target="mailto:responsabile.trasparenza@crea.gov.it" TargetMode="External"/><Relationship Id="rId27" Type="http://schemas.openxmlformats.org/officeDocument/2006/relationships/footer" Target="footer1.xml"/><Relationship Id="rId30"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www.anticorruzione.it/en/-/delibera-n.-495-del-25-settembre-2024" TargetMode="External"/><Relationship Id="rId2" Type="http://schemas.openxmlformats.org/officeDocument/2006/relationships/hyperlink" Target="https://www.crea.gov.it/atti-generali" TargetMode="External"/><Relationship Id="rId1" Type="http://schemas.openxmlformats.org/officeDocument/2006/relationships/hyperlink" Target="https://www.crea.gov.it/atti-general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C74C93-BCF7-4C1B-95F7-971181784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12825</Words>
  <Characters>73108</Characters>
  <Application>Microsoft Office Word</Application>
  <DocSecurity>4</DocSecurity>
  <Lines>609</Lines>
  <Paragraphs>171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85762</CharactersWithSpaces>
  <SharedDoc>false</SharedDoc>
  <HLinks>
    <vt:vector size="108" baseType="variant">
      <vt:variant>
        <vt:i4>6881333</vt:i4>
      </vt:variant>
      <vt:variant>
        <vt:i4>42</vt:i4>
      </vt:variant>
      <vt:variant>
        <vt:i4>0</vt:i4>
      </vt:variant>
      <vt:variant>
        <vt:i4>5</vt:i4>
      </vt:variant>
      <vt:variant>
        <vt:lpwstr>https://www.crea.gov.it/registro-degli-accessi</vt:lpwstr>
      </vt:variant>
      <vt:variant>
        <vt:lpwstr/>
      </vt:variant>
      <vt:variant>
        <vt:i4>6881394</vt:i4>
      </vt:variant>
      <vt:variant>
        <vt:i4>39</vt:i4>
      </vt:variant>
      <vt:variant>
        <vt:i4>0</vt:i4>
      </vt:variant>
      <vt:variant>
        <vt:i4>5</vt:i4>
      </vt:variant>
      <vt:variant>
        <vt:lpwstr>https://www.crea.gov.it/documents/20126/4159370/all+delib.38+regol.accesso.pdf/ca0eb367-30be-f5e8-acff-ce3044dd7a4e?t=1680516071730</vt:lpwstr>
      </vt:variant>
      <vt:variant>
        <vt:lpwstr/>
      </vt:variant>
      <vt:variant>
        <vt:i4>4849672</vt:i4>
      </vt:variant>
      <vt:variant>
        <vt:i4>36</vt:i4>
      </vt:variant>
      <vt:variant>
        <vt:i4>0</vt:i4>
      </vt:variant>
      <vt:variant>
        <vt:i4>5</vt:i4>
      </vt:variant>
      <vt:variant>
        <vt:lpwstr>https://www.crea.gov.it/tipologie-di-procedimento</vt:lpwstr>
      </vt:variant>
      <vt:variant>
        <vt:lpwstr/>
      </vt:variant>
      <vt:variant>
        <vt:i4>7864359</vt:i4>
      </vt:variant>
      <vt:variant>
        <vt:i4>33</vt:i4>
      </vt:variant>
      <vt:variant>
        <vt:i4>0</vt:i4>
      </vt:variant>
      <vt:variant>
        <vt:i4>5</vt:i4>
      </vt:variant>
      <vt:variant>
        <vt:lpwstr>https://www.crea.gov.it/whistleblowing</vt:lpwstr>
      </vt:variant>
      <vt:variant>
        <vt:lpwstr/>
      </vt:variant>
      <vt:variant>
        <vt:i4>6684779</vt:i4>
      </vt:variant>
      <vt:variant>
        <vt:i4>30</vt:i4>
      </vt:variant>
      <vt:variant>
        <vt:i4>0</vt:i4>
      </vt:variant>
      <vt:variant>
        <vt:i4>5</vt:i4>
      </vt:variant>
      <vt:variant>
        <vt:lpwstr>https://www.crea.gov.it/piano-triennale-per-la-prevenzione-della-corruzione-e-della-trasparenza</vt:lpwstr>
      </vt:variant>
      <vt:variant>
        <vt:lpwstr/>
      </vt:variant>
      <vt:variant>
        <vt:i4>6684779</vt:i4>
      </vt:variant>
      <vt:variant>
        <vt:i4>27</vt:i4>
      </vt:variant>
      <vt:variant>
        <vt:i4>0</vt:i4>
      </vt:variant>
      <vt:variant>
        <vt:i4>5</vt:i4>
      </vt:variant>
      <vt:variant>
        <vt:lpwstr>https://www.crea.gov.it/piano-triennale-per-la-prevenzione-della-corruzione-e-della-trasparenza</vt:lpwstr>
      </vt:variant>
      <vt:variant>
        <vt:lpwstr/>
      </vt:variant>
      <vt:variant>
        <vt:i4>6684779</vt:i4>
      </vt:variant>
      <vt:variant>
        <vt:i4>24</vt:i4>
      </vt:variant>
      <vt:variant>
        <vt:i4>0</vt:i4>
      </vt:variant>
      <vt:variant>
        <vt:i4>5</vt:i4>
      </vt:variant>
      <vt:variant>
        <vt:lpwstr>https://www.crea.gov.it/piano-triennale-per-la-prevenzione-della-corruzione-e-della-trasparenza</vt:lpwstr>
      </vt:variant>
      <vt:variant>
        <vt:lpwstr/>
      </vt:variant>
      <vt:variant>
        <vt:i4>4128790</vt:i4>
      </vt:variant>
      <vt:variant>
        <vt:i4>21</vt:i4>
      </vt:variant>
      <vt:variant>
        <vt:i4>0</vt:i4>
      </vt:variant>
      <vt:variant>
        <vt:i4>5</vt:i4>
      </vt:variant>
      <vt:variant>
        <vt:lpwstr>https://www.rgs.mef.gov.it/VERSIONE-I/circolari/2024/circolare_n_13_2024/</vt:lpwstr>
      </vt:variant>
      <vt:variant>
        <vt:lpwstr/>
      </vt:variant>
      <vt:variant>
        <vt:i4>3932178</vt:i4>
      </vt:variant>
      <vt:variant>
        <vt:i4>18</vt:i4>
      </vt:variant>
      <vt:variant>
        <vt:i4>0</vt:i4>
      </vt:variant>
      <vt:variant>
        <vt:i4>5</vt:i4>
      </vt:variant>
      <vt:variant>
        <vt:lpwstr>https://www.rgs.mef.gov.it/VERSIONE-I/circolari/2023/circolare_n_27_2023/</vt:lpwstr>
      </vt:variant>
      <vt:variant>
        <vt:lpwstr/>
      </vt:variant>
      <vt:variant>
        <vt:i4>3997717</vt:i4>
      </vt:variant>
      <vt:variant>
        <vt:i4>15</vt:i4>
      </vt:variant>
      <vt:variant>
        <vt:i4>0</vt:i4>
      </vt:variant>
      <vt:variant>
        <vt:i4>5</vt:i4>
      </vt:variant>
      <vt:variant>
        <vt:lpwstr>https://www.rgs.mef.gov.it/VERSIONE-I/circolari/2022/circolare_n_30_2022/</vt:lpwstr>
      </vt:variant>
      <vt:variant>
        <vt:lpwstr/>
      </vt:variant>
      <vt:variant>
        <vt:i4>7340149</vt:i4>
      </vt:variant>
      <vt:variant>
        <vt:i4>12</vt:i4>
      </vt:variant>
      <vt:variant>
        <vt:i4>0</vt:i4>
      </vt:variant>
      <vt:variant>
        <vt:i4>5</vt:i4>
      </vt:variant>
      <vt:variant>
        <vt:lpwstr>https://www.crea.gov.it/en/circolari-in-materia-di-anticorruzione-e-trasparenza</vt:lpwstr>
      </vt:variant>
      <vt:variant>
        <vt:lpwstr/>
      </vt:variant>
      <vt:variant>
        <vt:i4>6684779</vt:i4>
      </vt:variant>
      <vt:variant>
        <vt:i4>9</vt:i4>
      </vt:variant>
      <vt:variant>
        <vt:i4>0</vt:i4>
      </vt:variant>
      <vt:variant>
        <vt:i4>5</vt:i4>
      </vt:variant>
      <vt:variant>
        <vt:lpwstr>https://www.crea.gov.it/piano-triennale-per-la-prevenzione-della-corruzione-e-della-trasparenza</vt:lpwstr>
      </vt:variant>
      <vt:variant>
        <vt:lpwstr/>
      </vt:variant>
      <vt:variant>
        <vt:i4>6684779</vt:i4>
      </vt:variant>
      <vt:variant>
        <vt:i4>6</vt:i4>
      </vt:variant>
      <vt:variant>
        <vt:i4>0</vt:i4>
      </vt:variant>
      <vt:variant>
        <vt:i4>5</vt:i4>
      </vt:variant>
      <vt:variant>
        <vt:lpwstr>https://www.crea.gov.it/piano-triennale-per-la-prevenzione-della-corruzione-e-della-trasparenza</vt:lpwstr>
      </vt:variant>
      <vt:variant>
        <vt:lpwstr/>
      </vt:variant>
      <vt:variant>
        <vt:i4>6684779</vt:i4>
      </vt:variant>
      <vt:variant>
        <vt:i4>3</vt:i4>
      </vt:variant>
      <vt:variant>
        <vt:i4>0</vt:i4>
      </vt:variant>
      <vt:variant>
        <vt:i4>5</vt:i4>
      </vt:variant>
      <vt:variant>
        <vt:lpwstr>https://www.crea.gov.it/piano-triennale-per-la-prevenzione-della-corruzione-e-della-trasparenza</vt:lpwstr>
      </vt:variant>
      <vt:variant>
        <vt:lpwstr/>
      </vt:variant>
      <vt:variant>
        <vt:i4>6684779</vt:i4>
      </vt:variant>
      <vt:variant>
        <vt:i4>0</vt:i4>
      </vt:variant>
      <vt:variant>
        <vt:i4>0</vt:i4>
      </vt:variant>
      <vt:variant>
        <vt:i4>5</vt:i4>
      </vt:variant>
      <vt:variant>
        <vt:lpwstr>https://www.crea.gov.it/piano-triennale-per-la-prevenzione-della-corruzione-e-della-trasparenza</vt:lpwstr>
      </vt:variant>
      <vt:variant>
        <vt:lpwstr/>
      </vt:variant>
      <vt:variant>
        <vt:i4>852046</vt:i4>
      </vt:variant>
      <vt:variant>
        <vt:i4>6</vt:i4>
      </vt:variant>
      <vt:variant>
        <vt:i4>0</vt:i4>
      </vt:variant>
      <vt:variant>
        <vt:i4>5</vt:i4>
      </vt:variant>
      <vt:variant>
        <vt:lpwstr>https://www.anticorruzione.it/en/-/delibera-n.-495-del-25-settembre-2024</vt:lpwstr>
      </vt:variant>
      <vt:variant>
        <vt:lpwstr/>
      </vt:variant>
      <vt:variant>
        <vt:i4>393220</vt:i4>
      </vt:variant>
      <vt:variant>
        <vt:i4>3</vt:i4>
      </vt:variant>
      <vt:variant>
        <vt:i4>0</vt:i4>
      </vt:variant>
      <vt:variant>
        <vt:i4>5</vt:i4>
      </vt:variant>
      <vt:variant>
        <vt:lpwstr>https://www.crea.gov.it/atti-generali</vt:lpwstr>
      </vt:variant>
      <vt:variant>
        <vt:lpwstr/>
      </vt:variant>
      <vt:variant>
        <vt:i4>2621482</vt:i4>
      </vt:variant>
      <vt:variant>
        <vt:i4>0</vt:i4>
      </vt:variant>
      <vt:variant>
        <vt:i4>0</vt:i4>
      </vt:variant>
      <vt:variant>
        <vt:i4>5</vt:i4>
      </vt:variant>
      <vt:variant>
        <vt:lpwstr>https://www.crea.gov.it/atti-generali</vt:lpwstr>
      </vt:variant>
      <vt:variant>
        <vt:lpwstr>:~:text=Codice%20disciplinare%20e%20codice%20di%20condotta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Fiorella Pitocchi</dc:creator>
  <cp:keywords/>
  <dc:description/>
  <cp:lastModifiedBy>Maria Cimino (CREA-UG2)</cp:lastModifiedBy>
  <cp:revision>2</cp:revision>
  <cp:lastPrinted>2025-11-25T15:34:00Z</cp:lastPrinted>
  <dcterms:created xsi:type="dcterms:W3CDTF">2025-12-23T16:28:00Z</dcterms:created>
  <dcterms:modified xsi:type="dcterms:W3CDTF">2025-12-23T16:28:00Z</dcterms:modified>
</cp:coreProperties>
</file>